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A59D1">
      <w:pPr>
        <w:adjustRightInd w:val="0"/>
        <w:snapToGrid w:val="0"/>
        <w:spacing w:line="620" w:lineRule="exact"/>
        <w:jc w:val="left"/>
        <w:rPr>
          <w:rFonts w:hint="eastAsia" w:ascii="仿宋" w:hAnsi="仿宋" w:eastAsia="仿宋" w:cs="宋体"/>
          <w:sz w:val="32"/>
          <w:szCs w:val="32"/>
          <w:lang w:val="en-US" w:eastAsia="zh-CN"/>
        </w:rPr>
      </w:pPr>
      <w:r>
        <w:rPr>
          <w:rFonts w:hint="eastAsia" w:ascii="仿宋" w:hAnsi="仿宋" w:eastAsia="仿宋" w:cs="方正公文小标宋"/>
          <w:sz w:val="32"/>
          <w:szCs w:val="32"/>
        </w:rPr>
        <w:t>方案</w:t>
      </w:r>
      <w:r>
        <w:rPr>
          <w:rFonts w:hint="eastAsia" w:ascii="仿宋" w:hAnsi="仿宋" w:eastAsia="仿宋" w:cs="方正公文小标宋"/>
          <w:sz w:val="32"/>
          <w:szCs w:val="32"/>
          <w:lang w:val="en-US" w:eastAsia="zh-CN"/>
        </w:rPr>
        <w:t>7</w:t>
      </w:r>
    </w:p>
    <w:p w14:paraId="5A7AC750">
      <w:pPr>
        <w:adjustRightInd w:val="0"/>
        <w:snapToGrid w:val="0"/>
        <w:spacing w:line="620" w:lineRule="exact"/>
        <w:jc w:val="left"/>
        <w:rPr>
          <w:rFonts w:ascii="仿宋" w:hAnsi="仿宋" w:eastAsia="仿宋" w:cs="宋体"/>
          <w:sz w:val="32"/>
          <w:szCs w:val="32"/>
        </w:rPr>
      </w:pPr>
    </w:p>
    <w:p w14:paraId="5C644D8F">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福建省医院协会</w:t>
      </w:r>
      <w:bookmarkStart w:id="0" w:name="OLE_LINK4"/>
      <w:bookmarkStart w:id="1" w:name="OLE_LINK3"/>
      <w:r>
        <w:rPr>
          <w:rFonts w:hint="eastAsia" w:ascii="方正小标宋简体" w:hAnsi="方正小标宋简体" w:eastAsia="方正小标宋简体" w:cs="方正小标宋简体"/>
          <w:sz w:val="44"/>
          <w:szCs w:val="44"/>
        </w:rPr>
        <w:t>2026年“思辨运营智创未来”</w:t>
      </w:r>
      <w:bookmarkEnd w:id="0"/>
      <w:bookmarkEnd w:id="1"/>
    </w:p>
    <w:p w14:paraId="16F5F0D1">
      <w:pPr>
        <w:spacing w:line="680" w:lineRule="exact"/>
        <w:jc w:val="center"/>
        <w:rPr>
          <w:rFonts w:ascii="方正小标宋_GBK" w:hAnsi="方正小标宋_GBK" w:eastAsia="方正小标宋_GBK" w:cs="方正小标宋_GBK"/>
          <w:sz w:val="40"/>
          <w:szCs w:val="40"/>
        </w:rPr>
      </w:pPr>
      <w:r>
        <w:rPr>
          <w:rFonts w:hint="eastAsia" w:ascii="方正小标宋简体" w:hAnsi="方正小标宋简体" w:eastAsia="方正小标宋简体" w:cs="方正小标宋简体"/>
          <w:sz w:val="44"/>
          <w:szCs w:val="44"/>
        </w:rPr>
        <w:t>辩论赛活动方案</w:t>
      </w:r>
      <w:bookmarkStart w:id="4" w:name="_GoBack"/>
      <w:bookmarkEnd w:id="4"/>
    </w:p>
    <w:p w14:paraId="1A7324D6">
      <w:pPr>
        <w:adjustRightInd w:val="0"/>
        <w:snapToGrid w:val="0"/>
        <w:spacing w:line="620" w:lineRule="exact"/>
        <w:ind w:firstLine="640" w:firstLineChars="200"/>
        <w:rPr>
          <w:rFonts w:ascii="仿宋_GB2312" w:hAnsi="仿宋_GB2312" w:eastAsia="仿宋_GB2312" w:cs="仿宋_GB2312"/>
          <w:sz w:val="32"/>
          <w:szCs w:val="32"/>
        </w:rPr>
      </w:pPr>
    </w:p>
    <w:p w14:paraId="39759E3C">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一、活动背景与目的</w:t>
      </w:r>
    </w:p>
    <w:p w14:paraId="64685FC6">
      <w:pPr>
        <w:adjustRightInd w:val="0"/>
        <w:snapToGrid w:val="0"/>
        <w:spacing w:line="62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（一）构建专业对话平台</w:t>
      </w:r>
    </w:p>
    <w:p w14:paraId="1397E52B">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打破医院间管理壁垒，建立常态化、制度化的医院运营管理经验交流机制，促进全省医院运营管理水平的整体提升。</w:t>
      </w:r>
    </w:p>
    <w:p w14:paraId="3C0B16DE">
      <w:pPr>
        <w:adjustRightInd w:val="0"/>
        <w:snapToGrid w:val="0"/>
        <w:spacing w:line="62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（二）培育管理创新文化</w:t>
      </w:r>
    </w:p>
    <w:p w14:paraId="216626A4">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通过辩论形式激发管理人员的批判性思维和创新意识，营造“敢于质疑、善于思辨、勇于创新”的行业氛围。</w:t>
      </w:r>
    </w:p>
    <w:p w14:paraId="2941D9CE">
      <w:pPr>
        <w:adjustRightInd w:val="0"/>
        <w:snapToGrid w:val="0"/>
        <w:spacing w:line="62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（三）解决实践痛点问题</w:t>
      </w:r>
    </w:p>
    <w:p w14:paraId="5D4D0955">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聚焦DRG/DIP支付改革、智慧医院建设、绩效分配改革等当前医院运营中的热点难点问题，通过辩论碰撞形成可操作的解决方案。</w:t>
      </w:r>
    </w:p>
    <w:p w14:paraId="69B33A51">
      <w:pPr>
        <w:adjustRightInd w:val="0"/>
        <w:snapToGrid w:val="0"/>
        <w:spacing w:line="62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（四）储备管理人才梯队</w:t>
      </w:r>
    </w:p>
    <w:p w14:paraId="06904435">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发现和培养一批具有战略思维、表达能力和团队协作精神的运营管理后备人才。</w:t>
      </w:r>
    </w:p>
    <w:p w14:paraId="0D1702F7">
      <w:pPr>
        <w:adjustRightInd w:val="0"/>
        <w:snapToGrid w:val="0"/>
        <w:spacing w:line="62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（五）打造学术活动品牌</w:t>
      </w:r>
    </w:p>
    <w:p w14:paraId="0241BB10">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形成具有区域影响力的品牌学术活动，提升分会在全省医疗卫生管理领域的话语权和引领力。</w:t>
      </w:r>
    </w:p>
    <w:p w14:paraId="04E8F800">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二、活动主题</w:t>
      </w:r>
    </w:p>
    <w:p w14:paraId="446DC6FB">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“思辨运营智创未来”——探索高质量发展新路径，构建医院精细化运营新生态</w:t>
      </w:r>
    </w:p>
    <w:p w14:paraId="0EE2770A">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三、组织架构</w:t>
      </w:r>
    </w:p>
    <w:p w14:paraId="3B4D9EC3">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（一）主办单位</w:t>
      </w:r>
    </w:p>
    <w:p w14:paraId="46006B4F">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福建省医院协会医院运营管理分会</w:t>
      </w:r>
    </w:p>
    <w:p w14:paraId="46D3BCE9">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（二）承办单位</w:t>
      </w:r>
    </w:p>
    <w:p w14:paraId="205D8B33">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福建医科大学附属协和医院</w:t>
      </w:r>
    </w:p>
    <w:p w14:paraId="331A39A0">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（三）具体实施</w:t>
      </w:r>
    </w:p>
    <w:p w14:paraId="3C624AAC">
      <w:pPr>
        <w:adjustRightInd w:val="0"/>
        <w:snapToGrid w:val="0"/>
        <w:spacing w:line="620" w:lineRule="exact"/>
        <w:ind w:firstLine="640" w:firstLineChars="200"/>
      </w:pPr>
      <w:r>
        <w:rPr>
          <w:rFonts w:hint="eastAsia" w:ascii="仿宋_GB2312" w:hAnsi="仿宋_GB2312" w:eastAsia="仿宋_GB2312" w:cs="仿宋_GB2312"/>
          <w:sz w:val="32"/>
          <w:szCs w:val="32"/>
        </w:rPr>
        <w:t>由医院运营管理分会主委牵头，会同主委单位福建医科大学附属协和医院分管院领导以及各委员单位分管运营的院领导，全面负责活动的筹备与实施工作，审定活动方案，并协调各方资源。</w:t>
      </w:r>
    </w:p>
    <w:p w14:paraId="5B1FE5CD">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（四）评审委员</w:t>
      </w:r>
    </w:p>
    <w:p w14:paraId="6254669A">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邀请省内卫生、医保领域相关部门领导、医院管理专家、高校卫生管理学院教授以及行业咨询顾问担任。负责审定辩论题目，制定评审标准，确保学术严谨性。</w:t>
      </w:r>
    </w:p>
    <w:p w14:paraId="65D571C5">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四、参赛资格与组队要求</w:t>
      </w:r>
    </w:p>
    <w:p w14:paraId="23BFE662">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（一）参赛资格</w:t>
      </w:r>
    </w:p>
    <w:p w14:paraId="11407B2A">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福建省医院协会医院运营管理分会委员所在单位，鼓励跨单位、跨部门组队，体现医院运营管理工作协同性。</w:t>
      </w:r>
    </w:p>
    <w:p w14:paraId="7DDA16FB">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（二）队伍构成</w:t>
      </w:r>
    </w:p>
    <w:p w14:paraId="3B352ECA">
      <w:pPr>
        <w:adjustRightInd w:val="0"/>
        <w:snapToGrid w:val="0"/>
        <w:spacing w:line="620" w:lineRule="exact"/>
        <w:ind w:firstLine="640" w:firstLineChars="200"/>
      </w:pPr>
      <w:r>
        <w:rPr>
          <w:rFonts w:hint="eastAsia" w:ascii="仿宋_GB2312" w:hAnsi="仿宋_GB2312" w:eastAsia="仿宋_GB2312" w:cs="仿宋_GB2312"/>
          <w:sz w:val="32"/>
          <w:szCs w:val="32"/>
        </w:rPr>
        <w:t>每支队伍由4-8人组成，可由一家单位组建一支队伍，也可由多家单位联合组建一支队伍。建议组成如下：</w:t>
      </w:r>
    </w:p>
    <w:p w14:paraId="1ACFB5CF">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领队（1名，可选）：建议由分管运营的院领导或运营管理相关科室负责人担任</w:t>
      </w:r>
    </w:p>
    <w:p w14:paraId="43AE22EC">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指导老师（1名，可选）：可邀请高校教师或医院管理专家担任</w:t>
      </w:r>
    </w:p>
    <w:p w14:paraId="01EA5E78">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正式辩手（4名）：鼓励包含不同岗位背景（如运营、财务、医保、信息等）</w:t>
      </w:r>
    </w:p>
    <w:p w14:paraId="4FD49325">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替补辩手（1名，可选）</w:t>
      </w:r>
    </w:p>
    <w:p w14:paraId="64129E44">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资料研究员（1名，可选）：负责资料收集与整理</w:t>
      </w:r>
    </w:p>
    <w:p w14:paraId="2B48DC97">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五、辩论题目设计</w:t>
      </w:r>
    </w:p>
    <w:p w14:paraId="67D74EF8">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（一）设计原则</w:t>
      </w:r>
    </w:p>
    <w:p w14:paraId="4CB41919">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1.时代性：紧扣医改最新政策导向</w:t>
      </w:r>
    </w:p>
    <w:p w14:paraId="16C99617">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2.实践性：源于医院运营真实场景</w:t>
      </w:r>
    </w:p>
    <w:p w14:paraId="3B838EF6">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3.争议性：确保正反双方均有充分论证空间</w:t>
      </w:r>
    </w:p>
    <w:p w14:paraId="07EE5B14">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4.前瞻性：引导思考未来发展趋势</w:t>
      </w:r>
    </w:p>
    <w:p w14:paraId="08F4EEDE">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（二）辩题设置</w:t>
      </w:r>
    </w:p>
    <w:p w14:paraId="4495AE59">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探讨医院运营管理中的核心议题，本次辩论赛的辩题将围绕以下五个关键方向进行系统设计，共设置10道辩题（见附件1）。每个方向下的辩题均聚焦当前医院管理实践中的热点、难点与战略抉择，旨在通过正反观点的交锋，激发思辨，探索符合高质量发展要求的医院运营管理新路径、新模式。</w:t>
      </w:r>
    </w:p>
    <w:p w14:paraId="2CBF3F01">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1.运营导向与价值衡量方向</w:t>
      </w:r>
    </w:p>
    <w:p w14:paraId="3D90B4D2">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向辩题聚焦于医院绩效评价与管理的根本导向问题。题目将围绕在医院运行中，如何平衡公益性与经营性、长期价值与短期效益、质量安全与效率提升等核心矛盾展开。通过辩论，引导管理者深入思考医院绩效改革的指挥棒应指向何方，以及在不同约束条件下如何确立科学的运营目标与评价体系。</w:t>
      </w:r>
    </w:p>
    <w:p w14:paraId="45D75415">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2.资源优化与配置策略方向</w:t>
      </w:r>
    </w:p>
    <w:p w14:paraId="2E7869FC">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向辩题集中于医院有限资源（包括资金、设备、空间、人力等）的分配逻辑与优先序决策。题目将涉及人力资源激励与物质资源更新、基建投入重点、人才结构规划、服务流程再造中的资源倾斜等具体场景。旨在辩论中厘清资源投入的边际效益，探索在预算约束下实现医院整体效能最大化的科学配置策略。</w:t>
      </w:r>
    </w:p>
    <w:p w14:paraId="680329B3">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3.支付改革与战略适应方向</w:t>
      </w:r>
    </w:p>
    <w:p w14:paraId="74539E1E">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向辩题紧扣医保DRG/DIP支付方式改革带来的深刻影响。题目将探讨医院在新型支付环境下，应如何调整发展策略、病种结构、成本管控模式及内部激励机制。通过辩论，分析支付改革对医院行为产生的驱动作用，寻求在保障医疗质量与患者安全的前提下，实现财务可持续与高质量发展的战略应对方案。</w:t>
      </w:r>
    </w:p>
    <w:p w14:paraId="068E70EB">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4.数字化转型与智慧建设方向</w:t>
      </w:r>
    </w:p>
    <w:p w14:paraId="1B0B9D53">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向辩题关注信息技术赋能医院现代化管理的路径与方法。题目将涉及数字化战略的推进模式、建设重点的优先选择、数据治理的价值取向以及互联网医疗的服务定位等关键议题。旨在思辨中明确数字化转型的核心目标，探索如何通过智慧医院建设有效提升临床、管理和服务效能。</w:t>
      </w:r>
    </w:p>
    <w:p w14:paraId="666E29F7">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5.长远发展与系统变革方向</w:t>
      </w:r>
    </w:p>
    <w:p w14:paraId="57FE6D7B">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向辩题立足于宏观视野，审视公立医院在新时代背景下面临的根本性挑战与系统性变革。题目将探讨影响医院高质量发展的主要矛盾、内外部驱动力的关系、应对重大社会变迁（如老龄化）的战略选择，以及在区域竞争中的核心能力构建。通过辩论，促进对医院发展规律的深层思考，谋划面向未来的系统性解决方案。</w:t>
      </w:r>
    </w:p>
    <w:p w14:paraId="73EED8E7">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以上五个方向共10道辩题，共同构成一个从微观运营到宏观战略、从内部管理到外部适应的完整思辨框架。所有辩题均力求贴近管理实际，具备充分的讨论空间与政策关联性，以确保辩论的专业深度与现实价值。</w:t>
      </w:r>
    </w:p>
    <w:p w14:paraId="1E0DF594">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（三）辩题使用规则</w:t>
      </w:r>
    </w:p>
    <w:p w14:paraId="2D5F631A">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比赛现场抽签确定正反方立场及辩题。</w:t>
      </w:r>
    </w:p>
    <w:p w14:paraId="4F49B2BF">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六、赛事组织实施方案</w:t>
      </w:r>
    </w:p>
    <w:p w14:paraId="02319728">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（一）整体时间安排</w:t>
      </w:r>
    </w:p>
    <w:p w14:paraId="0D351844">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方案发布：2026年2月</w:t>
      </w:r>
    </w:p>
    <w:p w14:paraId="310004EE">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报名征集：2026年2-3月</w:t>
      </w:r>
    </w:p>
    <w:p w14:paraId="230A6EED">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比赛时间：2026年4月底</w:t>
      </w:r>
    </w:p>
    <w:p w14:paraId="6A6E70DC">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（二）比赛地点</w:t>
      </w:r>
    </w:p>
    <w:p w14:paraId="5232D42F">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福建医科大学附属协和医院第一会议室</w:t>
      </w:r>
    </w:p>
    <w:p w14:paraId="1B947808">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（具体场地根据最终参赛队伍数量确定）</w:t>
      </w:r>
    </w:p>
    <w:p w14:paraId="5CE6F823">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（三）赛制设计</w:t>
      </w:r>
    </w:p>
    <w:p w14:paraId="141279AE">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为确保赛事公平、紧凑且富有悬念，本次辩论赛采用现场抽签、单败淘汰制。具体赛制设计如下：</w:t>
      </w:r>
    </w:p>
    <w:p w14:paraId="4432963A">
      <w:pPr>
        <w:adjustRightInd w:val="0"/>
        <w:snapToGrid w:val="0"/>
        <w:spacing w:line="620" w:lineRule="exact"/>
        <w:ind w:left="638" w:leftChars="304"/>
        <w:rPr>
          <w:rFonts w:ascii="仿宋_GB2312" w:hAnsi="仿宋_GB2312" w:eastAsia="仿宋_GB2312" w:cs="仿宋_GB2312"/>
          <w:bCs/>
          <w:sz w:val="32"/>
          <w:szCs w:val="32"/>
        </w:rPr>
      </w:pPr>
      <w:r>
        <w:rPr>
          <w:rFonts w:ascii="仿宋_GB2312" w:hAnsi="仿宋_GB2312" w:eastAsia="仿宋_GB2312" w:cs="仿宋_GB2312"/>
          <w:bCs/>
          <w:sz w:val="32"/>
          <w:szCs w:val="32"/>
        </w:rPr>
        <w:t>1.总体赛程</w:t>
      </w:r>
    </w:p>
    <w:p w14:paraId="62550F3B">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比赛共进行两轮，分别为：</w:t>
      </w:r>
      <w:r>
        <w:rPr>
          <w:rFonts w:hint="eastAsia" w:ascii="仿宋_GB2312" w:hAnsi="仿宋_GB2312" w:eastAsia="仿宋_GB2312" w:cs="仿宋_GB2312"/>
          <w:sz w:val="32"/>
          <w:szCs w:val="32"/>
        </w:rPr>
        <w:t>淘汰</w:t>
      </w:r>
      <w:r>
        <w:rPr>
          <w:rFonts w:ascii="仿宋_GB2312" w:hAnsi="仿宋_GB2312" w:eastAsia="仿宋_GB2312" w:cs="仿宋_GB2312"/>
          <w:sz w:val="32"/>
          <w:szCs w:val="32"/>
        </w:rPr>
        <w:t>赛与总决赛</w:t>
      </w:r>
    </w:p>
    <w:p w14:paraId="1F39DBD9">
      <w:pPr>
        <w:adjustRightInd w:val="0"/>
        <w:snapToGrid w:val="0"/>
        <w:spacing w:line="62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2.参赛队伍与对阵生成</w:t>
      </w:r>
    </w:p>
    <w:p w14:paraId="29569D02">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参赛队伍</w:t>
      </w:r>
      <w:r>
        <w:rPr>
          <w:rFonts w:hint="eastAsia" w:ascii="仿宋_GB2312" w:hAnsi="仿宋_GB2312" w:eastAsia="仿宋_GB2312" w:cs="仿宋_GB2312"/>
          <w:sz w:val="32"/>
          <w:szCs w:val="32"/>
        </w:rPr>
        <w:t>根据实际报名情况确定</w:t>
      </w:r>
      <w:r>
        <w:rPr>
          <w:rFonts w:ascii="仿宋_GB2312" w:hAnsi="仿宋_GB2312" w:eastAsia="仿宋_GB2312" w:cs="仿宋_GB2312"/>
          <w:sz w:val="32"/>
          <w:szCs w:val="32"/>
        </w:rPr>
        <w:t>。</w:t>
      </w:r>
    </w:p>
    <w:p w14:paraId="769B6322">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比赛开始前，所有参赛队伍代表进行公开抽签，决定</w:t>
      </w:r>
      <w:r>
        <w:rPr>
          <w:rFonts w:hint="eastAsia" w:ascii="仿宋_GB2312" w:hAnsi="仿宋_GB2312" w:eastAsia="仿宋_GB2312" w:cs="仿宋_GB2312"/>
          <w:sz w:val="32"/>
          <w:szCs w:val="32"/>
        </w:rPr>
        <w:t>淘汰</w:t>
      </w:r>
      <w:r>
        <w:rPr>
          <w:rFonts w:ascii="仿宋_GB2312" w:hAnsi="仿宋_GB2312" w:eastAsia="仿宋_GB2312" w:cs="仿宋_GB2312"/>
          <w:sz w:val="32"/>
          <w:szCs w:val="32"/>
        </w:rPr>
        <w:t>赛的对阵形势、比赛场次</w:t>
      </w:r>
      <w:r>
        <w:rPr>
          <w:rFonts w:hint="eastAsia" w:ascii="仿宋_GB2312" w:hAnsi="仿宋_GB2312" w:eastAsia="仿宋_GB2312" w:cs="仿宋_GB2312"/>
          <w:sz w:val="32"/>
          <w:szCs w:val="32"/>
        </w:rPr>
        <w:t>、辩题</w:t>
      </w:r>
      <w:r>
        <w:rPr>
          <w:rFonts w:ascii="仿宋_GB2312" w:hAnsi="仿宋_GB2312" w:eastAsia="仿宋_GB2312" w:cs="仿宋_GB2312"/>
          <w:sz w:val="32"/>
          <w:szCs w:val="32"/>
        </w:rPr>
        <w:t>及正反方席位。</w:t>
      </w:r>
    </w:p>
    <w:p w14:paraId="2CB0B787">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总决赛开始前</w:t>
      </w:r>
      <w:r>
        <w:rPr>
          <w:rFonts w:hint="eastAsia" w:ascii="仿宋_GB2312" w:hAnsi="仿宋_GB2312" w:eastAsia="仿宋_GB2312" w:cs="仿宋_GB2312"/>
          <w:sz w:val="32"/>
          <w:szCs w:val="32"/>
        </w:rPr>
        <w:t>，淘汰赛获胜2支</w:t>
      </w:r>
      <w:r>
        <w:rPr>
          <w:rFonts w:ascii="仿宋_GB2312" w:hAnsi="仿宋_GB2312" w:eastAsia="仿宋_GB2312" w:cs="仿宋_GB2312"/>
          <w:sz w:val="32"/>
          <w:szCs w:val="32"/>
        </w:rPr>
        <w:t>参赛队伍代表进行公开抽签，决定总决赛的</w:t>
      </w:r>
      <w:r>
        <w:rPr>
          <w:rFonts w:hint="eastAsia" w:ascii="仿宋_GB2312" w:hAnsi="仿宋_GB2312" w:eastAsia="仿宋_GB2312" w:cs="仿宋_GB2312"/>
          <w:sz w:val="32"/>
          <w:szCs w:val="32"/>
        </w:rPr>
        <w:t>辩题及</w:t>
      </w:r>
      <w:r>
        <w:rPr>
          <w:rFonts w:ascii="仿宋_GB2312" w:hAnsi="仿宋_GB2312" w:eastAsia="仿宋_GB2312" w:cs="仿宋_GB2312"/>
          <w:sz w:val="32"/>
          <w:szCs w:val="32"/>
        </w:rPr>
        <w:t>正反方席位。</w:t>
      </w:r>
    </w:p>
    <w:p w14:paraId="386CEDEB">
      <w:pPr>
        <w:adjustRightInd w:val="0"/>
        <w:snapToGrid w:val="0"/>
        <w:spacing w:line="62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ascii="仿宋_GB2312" w:hAnsi="仿宋_GB2312" w:eastAsia="仿宋_GB2312" w:cs="仿宋_GB2312"/>
          <w:bCs/>
          <w:sz w:val="32"/>
          <w:szCs w:val="32"/>
        </w:rPr>
        <w:t>比赛流程（单场）</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每场辩论赛严格计时，总时长控制在 </w:t>
      </w:r>
      <w:r>
        <w:rPr>
          <w:rFonts w:hint="eastAsia" w:ascii="仿宋_GB2312" w:hAnsi="仿宋_GB2312" w:eastAsia="仿宋_GB2312" w:cs="仿宋_GB2312"/>
          <w:sz w:val="32"/>
          <w:szCs w:val="32"/>
        </w:rPr>
        <w:t>30-45</w:t>
      </w:r>
      <w:r>
        <w:rPr>
          <w:rFonts w:ascii="仿宋_GB2312" w:hAnsi="仿宋_GB2312" w:eastAsia="仿宋_GB2312" w:cs="仿宋_GB2312"/>
          <w:sz w:val="32"/>
          <w:szCs w:val="32"/>
        </w:rPr>
        <w:t>分钟，具体流程如</w:t>
      </w:r>
    </w:p>
    <w:p w14:paraId="2806784F">
      <w:pPr>
        <w:adjustRightInd w:val="0"/>
        <w:snapToGrid w:val="0"/>
        <w:spacing w:line="620" w:lineRule="exact"/>
        <w:rPr>
          <w:rFonts w:ascii="仿宋_GB2312" w:hAnsi="仿宋_GB2312" w:eastAsia="仿宋_GB2312" w:cs="仿宋_GB2312"/>
          <w:sz w:val="32"/>
          <w:szCs w:val="32"/>
        </w:rPr>
      </w:pPr>
      <w:r>
        <w:rPr>
          <w:rFonts w:ascii="仿宋_GB2312" w:hAnsi="仿宋_GB2312" w:eastAsia="仿宋_GB2312" w:cs="仿宋_GB2312"/>
          <w:sz w:val="32"/>
          <w:szCs w:val="32"/>
        </w:rPr>
        <w:t>下：</w:t>
      </w:r>
    </w:p>
    <w:p w14:paraId="4ECEE735">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（1）开场展示（各1分钟）：团队风采展示</w:t>
      </w:r>
    </w:p>
    <w:p w14:paraId="44D2E892">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（2）立论陈词（各2分钟）：系统阐述本方观点</w:t>
      </w:r>
    </w:p>
    <w:p w14:paraId="52844B4A">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（3）质询环节（共8分钟）：一对一质询（各2分钟）、交叉质询（各2分钟）</w:t>
      </w:r>
    </w:p>
    <w:p w14:paraId="019A836C">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（4）自由辩论（各3分钟，共6分钟）</w:t>
      </w:r>
    </w:p>
    <w:p w14:paraId="302E8165">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（5）总结陈词（各3分钟）</w:t>
      </w:r>
    </w:p>
    <w:p w14:paraId="4A0F9092">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（6）评委提问与点评（10分钟）</w:t>
      </w:r>
    </w:p>
    <w:p w14:paraId="45734B14">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七、评审机制与标准</w:t>
      </w:r>
    </w:p>
    <w:p w14:paraId="351DD429">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（一）评审委员会构成</w:t>
      </w:r>
    </w:p>
    <w:p w14:paraId="0D104EAE">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邀请省内卫生、医保领域相关部门领导、医院管理专家、高校卫生管理学院教授以及行业咨询顾问担任。共设置3-5名评委：</w:t>
      </w:r>
    </w:p>
    <w:p w14:paraId="70FCDBBA">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首席评委：1名（国内知名医院管理专家）</w:t>
      </w:r>
    </w:p>
    <w:p w14:paraId="7E1A23CD">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常驻评委：1-2名（高校学者、管理专家、资深院长）</w:t>
      </w:r>
    </w:p>
    <w:p w14:paraId="729CC536">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特邀评委：每场1-2名（省内卫生、医保领域相关部门领导）</w:t>
      </w:r>
    </w:p>
    <w:p w14:paraId="44759254">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（二）评分体系（百分制）</w:t>
      </w:r>
    </w:p>
    <w:p w14:paraId="7DF709C0">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1.团体得分（70%）</w:t>
      </w:r>
    </w:p>
    <w:p w14:paraId="4AC1952C">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论点深度与创新性（20分）</w:t>
      </w:r>
    </w:p>
    <w:p w14:paraId="09052106">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论证逻辑与数据支撑（20分）</w:t>
      </w:r>
    </w:p>
    <w:p w14:paraId="7718AD24">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团队配合与战术运用（15分）</w:t>
      </w:r>
    </w:p>
    <w:p w14:paraId="73C5C8B7">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现场应变与反驳能力（15分）</w:t>
      </w:r>
    </w:p>
    <w:p w14:paraId="0CEF837B">
      <w:pPr>
        <w:adjustRightInd w:val="0"/>
        <w:snapToGrid w:val="0"/>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2.个人表现（30%）</w:t>
      </w:r>
    </w:p>
    <w:p w14:paraId="49C13CBC">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语言表达与感染力（10分）</w:t>
      </w:r>
    </w:p>
    <w:p w14:paraId="4C0D4471">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仪态风度与时间掌控（10分）</w:t>
      </w:r>
    </w:p>
    <w:p w14:paraId="3A6B984F">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提问质量与回答技巧（10分）</w:t>
      </w:r>
    </w:p>
    <w:p w14:paraId="2B284BE7">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八、奖项设置与激励机制</w:t>
      </w:r>
    </w:p>
    <w:p w14:paraId="76B2055F">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（一）团体奖项</w:t>
      </w:r>
    </w:p>
    <w:p w14:paraId="4850B287">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优胜辩论团队（1支）</w:t>
      </w:r>
    </w:p>
    <w:p w14:paraId="66A4FA3E">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（二）个人奖项</w:t>
      </w:r>
    </w:p>
    <w:p w14:paraId="40B3A235">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全程最佳辩手（1名）</w:t>
      </w:r>
    </w:p>
    <w:p w14:paraId="41BFA2FA">
      <w:pPr>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九、报名方式</w:t>
      </w:r>
    </w:p>
    <w:p w14:paraId="78B7EF45">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为确保报名工作规范、高效、有序开展，具体报名方式如下：</w:t>
      </w:r>
    </w:p>
    <w:p w14:paraId="773CA4A2">
      <w:p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（一）报名资格</w:t>
      </w:r>
    </w:p>
    <w:p w14:paraId="540F77B1">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主体资格：福建省医院协会医院运营管理分会委员所在单位</w:t>
      </w:r>
    </w:p>
    <w:p w14:paraId="584EF82C">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组队要求：鼓励跨单位、跨部门组队，体现医院运营管理工作协同性</w:t>
      </w:r>
    </w:p>
    <w:p w14:paraId="0E4191BB">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队伍规模：每支队伍4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8人（含领队、指导老师、正式辩手、替补辩手、资料研究员）</w:t>
      </w:r>
    </w:p>
    <w:p w14:paraId="33FAF81D">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（二）报名时间安排</w:t>
      </w:r>
    </w:p>
    <w:p w14:paraId="2CD8BB23">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报名启动：2026年2月</w:t>
      </w:r>
    </w:p>
    <w:p w14:paraId="5423F1CD">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报名截止：2026年3月3日（星期二）17:00（逾期不予受理）</w:t>
      </w:r>
    </w:p>
    <w:p w14:paraId="4D9AE28F">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报名队伍统计及公布</w:t>
      </w:r>
      <w:r>
        <w:rPr>
          <w:rFonts w:ascii="仿宋_GB2312" w:hAnsi="仿宋_GB2312" w:eastAsia="仿宋_GB2312" w:cs="仿宋_GB2312"/>
          <w:sz w:val="32"/>
          <w:szCs w:val="32"/>
        </w:rPr>
        <w:t>：2026年3月</w:t>
      </w:r>
    </w:p>
    <w:p w14:paraId="6B9CC1F1">
      <w:pPr>
        <w:adjustRightInd w:val="0"/>
        <w:snapToGrid w:val="0"/>
        <w:spacing w:line="620" w:lineRule="exact"/>
        <w:ind w:left="800"/>
        <w:rPr>
          <w:rFonts w:ascii="楷体" w:hAnsi="楷体" w:eastAsia="楷体" w:cs="楷体"/>
          <w:bCs/>
          <w:sz w:val="32"/>
          <w:szCs w:val="32"/>
        </w:rPr>
      </w:pPr>
      <w:r>
        <w:rPr>
          <w:rFonts w:hint="eastAsia" w:ascii="楷体" w:hAnsi="楷体" w:eastAsia="楷体" w:cs="楷体"/>
          <w:bCs/>
          <w:sz w:val="32"/>
          <w:szCs w:val="32"/>
        </w:rPr>
        <w:t>（三）报名渠道与方式</w:t>
      </w:r>
    </w:p>
    <w:p w14:paraId="7F420BCB">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报名</w:t>
      </w:r>
      <w:r>
        <w:rPr>
          <w:rFonts w:hint="eastAsia" w:ascii="仿宋_GB2312" w:hAnsi="仿宋_GB2312" w:eastAsia="仿宋_GB2312" w:cs="仿宋_GB2312"/>
          <w:sz w:val="32"/>
          <w:szCs w:val="32"/>
        </w:rPr>
        <w:t>队伍</w:t>
      </w:r>
      <w:r>
        <w:rPr>
          <w:rFonts w:ascii="仿宋_GB2312" w:hAnsi="仿宋_GB2312" w:eastAsia="仿宋_GB2312" w:cs="仿宋_GB2312"/>
          <w:sz w:val="32"/>
          <w:szCs w:val="32"/>
        </w:rPr>
        <w:t>需提交以下完整材料：</w:t>
      </w:r>
    </w:p>
    <w:p w14:paraId="31CFCFC7">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思辨运营智创未来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辩论赛报名表》</w:t>
      </w:r>
      <w:r>
        <w:rPr>
          <w:rFonts w:hint="eastAsia" w:ascii="仿宋_GB2312" w:hAnsi="仿宋_GB2312" w:eastAsia="仿宋_GB2312" w:cs="仿宋_GB2312"/>
          <w:sz w:val="32"/>
          <w:szCs w:val="32"/>
        </w:rPr>
        <w:t>（附件2）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签字并</w:t>
      </w:r>
      <w:r>
        <w:rPr>
          <w:rFonts w:ascii="仿宋_GB2312" w:hAnsi="仿宋_GB2312" w:eastAsia="仿宋_GB2312" w:cs="仿宋_GB2312"/>
          <w:sz w:val="32"/>
          <w:szCs w:val="32"/>
        </w:rPr>
        <w:t>加盖公章）</w:t>
      </w:r>
      <w:r>
        <w:rPr>
          <w:rFonts w:hint="eastAsia" w:ascii="仿宋_GB2312" w:hAnsi="仿宋_GB2312" w:eastAsia="仿宋_GB2312" w:cs="仿宋_GB2312"/>
          <w:sz w:val="32"/>
          <w:szCs w:val="32"/>
        </w:rPr>
        <w:t>纸质版</w:t>
      </w:r>
      <w:r>
        <w:rPr>
          <w:rFonts w:ascii="仿宋_GB2312" w:hAnsi="仿宋_GB2312" w:eastAsia="仿宋_GB2312" w:cs="仿宋_GB2312"/>
          <w:sz w:val="32"/>
          <w:szCs w:val="32"/>
        </w:rPr>
        <w:t>邮寄</w:t>
      </w:r>
      <w:r>
        <w:rPr>
          <w:rFonts w:hint="eastAsia" w:ascii="仿宋_GB2312" w:hAnsi="仿宋_GB2312" w:eastAsia="仿宋_GB2312" w:cs="仿宋_GB2312"/>
          <w:sz w:val="32"/>
          <w:szCs w:val="32"/>
        </w:rPr>
        <w:t>至福建省医院协会医院运营管理分会秘书处，</w:t>
      </w:r>
      <w:r>
        <w:rPr>
          <w:rFonts w:ascii="仿宋_GB2312" w:hAnsi="仿宋_GB2312" w:eastAsia="仿宋_GB2312" w:cs="仿宋_GB2312"/>
          <w:sz w:val="32"/>
          <w:szCs w:val="32"/>
        </w:rPr>
        <w:t>邮寄地址：福州市鼓楼区新权路29号福建医科大学附属协和医院17A附属楼407室</w:t>
      </w:r>
    </w:p>
    <w:p w14:paraId="1CA1DB85">
      <w:pPr>
        <w:adjustRightInd w:val="0"/>
        <w:snapToGrid w:val="0"/>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同时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发送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报名表》</w:t>
      </w:r>
      <w:r>
        <w:rPr>
          <w:rFonts w:hint="eastAsia" w:ascii="仿宋_GB2312" w:hAnsi="仿宋_GB2312" w:eastAsia="仿宋_GB2312" w:cs="仿宋_GB2312"/>
          <w:sz w:val="32"/>
          <w:szCs w:val="32"/>
        </w:rPr>
        <w:t>扫描件及</w:t>
      </w:r>
      <w:r>
        <w:rPr>
          <w:rFonts w:ascii="仿宋_GB2312" w:hAnsi="仿宋_GB2312" w:eastAsia="仿宋_GB2312" w:cs="仿宋_GB2312"/>
          <w:sz w:val="32"/>
          <w:szCs w:val="32"/>
        </w:rPr>
        <w:t>团队成员电子照片（每人1张</w:t>
      </w:r>
      <w:r>
        <w:rPr>
          <w:rFonts w:hint="eastAsia" w:ascii="仿宋_GB2312" w:hAnsi="仿宋_GB2312" w:eastAsia="仿宋_GB2312" w:cs="仿宋_GB2312"/>
          <w:sz w:val="32"/>
          <w:szCs w:val="32"/>
        </w:rPr>
        <w:t>，文件命名</w:t>
      </w:r>
      <w:r>
        <w:rPr>
          <w:rFonts w:ascii="仿宋_GB2312" w:hAnsi="仿宋_GB2312" w:eastAsia="仿宋_GB2312" w:cs="仿宋_GB2312"/>
          <w:sz w:val="32"/>
          <w:szCs w:val="32"/>
        </w:rPr>
        <w:t>姓名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单位）至邮箱</w:t>
      </w:r>
      <w:r>
        <w:fldChar w:fldCharType="begin"/>
      </w:r>
      <w:r>
        <w:instrText xml:space="preserve"> HYPERLINK "mailto:xhyyyyglc@163.com" </w:instrText>
      </w:r>
      <w:r>
        <w:fldChar w:fldCharType="separate"/>
      </w:r>
      <w:r>
        <w:rPr>
          <w:rFonts w:ascii="仿宋_GB2312" w:hAnsi="仿宋_GB2312" w:eastAsia="仿宋_GB2312" w:cs="仿宋_GB2312"/>
          <w:sz w:val="32"/>
          <w:szCs w:val="32"/>
        </w:rPr>
        <w:t>xhyyyyglc@163.com</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08D1D01A">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其他支持材料（选交）</w:t>
      </w:r>
    </w:p>
    <w:p w14:paraId="11E4744F">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w:t>
      </w:r>
      <w:r>
        <w:rPr>
          <w:rFonts w:ascii="仿宋_GB2312" w:hAnsi="仿宋_GB2312" w:eastAsia="仿宋_GB2312" w:cs="仿宋_GB2312"/>
          <w:sz w:val="32"/>
          <w:szCs w:val="32"/>
        </w:rPr>
        <w:t>团队风采展示材料（团队合影、简介视频等，用于宣传）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相关专业成果证明材料</w:t>
      </w:r>
      <w:r>
        <w:rPr>
          <w:rFonts w:hint="eastAsia" w:ascii="仿宋_GB2312" w:hAnsi="仿宋_GB2312" w:eastAsia="仿宋_GB2312" w:cs="仿宋_GB2312"/>
          <w:sz w:val="32"/>
          <w:szCs w:val="32"/>
        </w:rPr>
        <w:t>、团队成员</w:t>
      </w:r>
      <w:r>
        <w:rPr>
          <w:rFonts w:ascii="仿宋_GB2312" w:hAnsi="仿宋_GB2312" w:eastAsia="仿宋_GB2312" w:cs="仿宋_GB2312"/>
          <w:sz w:val="32"/>
          <w:szCs w:val="32"/>
        </w:rPr>
        <w:t>辩论或演讲比赛获奖证书复印件</w:t>
      </w:r>
      <w:r>
        <w:rPr>
          <w:rFonts w:hint="eastAsia" w:ascii="仿宋_GB2312" w:hAnsi="仿宋_GB2312" w:eastAsia="仿宋_GB2312" w:cs="仿宋_GB2312"/>
          <w:sz w:val="32"/>
          <w:szCs w:val="32"/>
        </w:rPr>
        <w:t>等相关支撑材料，可一并发送至</w:t>
      </w:r>
      <w:r>
        <w:rPr>
          <w:rFonts w:ascii="仿宋_GB2312" w:hAnsi="仿宋_GB2312" w:eastAsia="仿宋_GB2312" w:cs="仿宋_GB2312"/>
          <w:sz w:val="32"/>
          <w:szCs w:val="32"/>
        </w:rPr>
        <w:t>邮箱</w:t>
      </w:r>
      <w:r>
        <w:fldChar w:fldCharType="begin"/>
      </w:r>
      <w:r>
        <w:instrText xml:space="preserve"> HYPERLINK "mailto:xhyyyyglc@163.com" </w:instrText>
      </w:r>
      <w:r>
        <w:fldChar w:fldCharType="separate"/>
      </w:r>
      <w:r>
        <w:rPr>
          <w:rFonts w:ascii="仿宋_GB2312" w:hAnsi="仿宋_GB2312" w:eastAsia="仿宋_GB2312" w:cs="仿宋_GB2312"/>
          <w:sz w:val="32"/>
          <w:szCs w:val="32"/>
        </w:rPr>
        <w:t>xhyyyyglc@163.com</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67B38237">
      <w:pPr>
        <w:numPr>
          <w:ilvl w:val="0"/>
          <w:numId w:val="1"/>
        </w:numPr>
        <w:adjustRightInd w:val="0"/>
        <w:snapToGrid w:val="0"/>
        <w:spacing w:line="620" w:lineRule="exact"/>
        <w:ind w:firstLine="640" w:firstLineChars="200"/>
        <w:rPr>
          <w:rFonts w:ascii="楷体" w:hAnsi="楷体" w:eastAsia="楷体" w:cs="楷体"/>
          <w:bCs/>
          <w:sz w:val="32"/>
          <w:szCs w:val="32"/>
        </w:rPr>
      </w:pPr>
      <w:r>
        <w:rPr>
          <w:rFonts w:hint="eastAsia" w:ascii="楷体" w:hAnsi="楷体" w:eastAsia="楷体" w:cs="楷体"/>
          <w:bCs/>
          <w:sz w:val="32"/>
          <w:szCs w:val="32"/>
        </w:rPr>
        <w:t>报名联系人</w:t>
      </w:r>
    </w:p>
    <w:p w14:paraId="0C8EA6C4">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福建省医院协会医院运营管理分会</w:t>
      </w:r>
      <w:r>
        <w:rPr>
          <w:rFonts w:ascii="仿宋_GB2312" w:hAnsi="仿宋_GB2312" w:eastAsia="仿宋_GB2312" w:cs="仿宋_GB2312"/>
          <w:sz w:val="32"/>
          <w:szCs w:val="32"/>
        </w:rPr>
        <w:t>陈萍萍15980232573、黄晨璐13675045281</w:t>
      </w:r>
      <w:r>
        <w:rPr>
          <w:rFonts w:hint="eastAsia" w:ascii="仿宋_GB2312" w:hAnsi="仿宋_GB2312" w:eastAsia="仿宋_GB2312" w:cs="仿宋_GB2312"/>
          <w:sz w:val="32"/>
          <w:szCs w:val="32"/>
        </w:rPr>
        <w:t>。</w:t>
      </w:r>
    </w:p>
    <w:p w14:paraId="70930F4B">
      <w:pPr>
        <w:rPr>
          <w:rFonts w:ascii="仿宋_GB2312" w:hAnsi="仿宋_GB2312" w:eastAsia="仿宋_GB2312" w:cs="仿宋_GB2312"/>
          <w:sz w:val="32"/>
          <w:szCs w:val="32"/>
        </w:rPr>
      </w:pPr>
    </w:p>
    <w:p w14:paraId="08004361">
      <w:pPr>
        <w:adjustRightInd w:val="0"/>
        <w:snapToGrid w:val="0"/>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附件：1.福建省医院协会2026年“思辨运营 智创未来”辩论</w:t>
      </w:r>
    </w:p>
    <w:p w14:paraId="72E7DFB7">
      <w:pPr>
        <w:adjustRightInd w:val="0"/>
        <w:snapToGrid w:val="0"/>
        <w:spacing w:line="59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赛题库</w:t>
      </w:r>
    </w:p>
    <w:p w14:paraId="2265D880">
      <w:pPr>
        <w:adjustRightInd w:val="0"/>
        <w:snapToGrid w:val="0"/>
        <w:spacing w:line="590" w:lineRule="exact"/>
        <w:ind w:firstLine="1440" w:firstLineChars="4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2.“思辨运营 智创未来”辩论赛报名表</w:t>
      </w:r>
    </w:p>
    <w:p w14:paraId="4E2B7A7D">
      <w:pPr>
        <w:adjustRightInd w:val="0"/>
        <w:snapToGrid w:val="0"/>
        <w:spacing w:line="590" w:lineRule="exact"/>
        <w:ind w:firstLine="660"/>
        <w:jc w:val="left"/>
        <w:rPr>
          <w:rFonts w:ascii="仿宋_GB2312" w:hAnsi="仿宋_GB2312" w:eastAsia="仿宋_GB2312" w:cs="仿宋_GB2312"/>
          <w:sz w:val="32"/>
          <w:szCs w:val="32"/>
        </w:rPr>
      </w:pPr>
    </w:p>
    <w:p w14:paraId="48D19951">
      <w:pPr>
        <w:adjustRightInd w:val="0"/>
        <w:snapToGrid w:val="0"/>
        <w:spacing w:line="590" w:lineRule="exact"/>
        <w:ind w:firstLine="660"/>
        <w:jc w:val="left"/>
        <w:rPr>
          <w:rFonts w:ascii="仿宋_GB2312" w:hAnsi="仿宋_GB2312" w:eastAsia="仿宋_GB2312" w:cs="仿宋_GB2312"/>
          <w:sz w:val="32"/>
          <w:szCs w:val="32"/>
        </w:rPr>
      </w:pPr>
    </w:p>
    <w:p w14:paraId="41D4E7DB">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1F48F3E">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40D364B0">
      <w:pPr>
        <w:adjustRightInd w:val="0"/>
        <w:snapToGrid w:val="0"/>
        <w:spacing w:line="590" w:lineRule="exact"/>
        <w:jc w:val="center"/>
        <w:rPr>
          <w:rFonts w:ascii="方正小标宋_GBK" w:hAnsi="方正小标宋_GBK" w:eastAsia="方正小标宋_GBK" w:cs="方正小标宋_GBK"/>
          <w:sz w:val="36"/>
          <w:szCs w:val="36"/>
        </w:rPr>
      </w:pPr>
      <w:bookmarkStart w:id="2" w:name="OLE_LINK1"/>
      <w:bookmarkStart w:id="3" w:name="OLE_LINK2"/>
      <w:r>
        <w:rPr>
          <w:rFonts w:hint="eastAsia" w:ascii="方正小标宋_GBK" w:hAnsi="方正小标宋_GBK" w:eastAsia="方正小标宋_GBK" w:cs="方正小标宋_GBK"/>
          <w:sz w:val="36"/>
          <w:szCs w:val="36"/>
        </w:rPr>
        <w:t>福建省医院协会2026年“思辨运营 智创未来”</w:t>
      </w:r>
    </w:p>
    <w:p w14:paraId="4CF5DCEA">
      <w:pPr>
        <w:adjustRightInd w:val="0"/>
        <w:snapToGrid w:val="0"/>
        <w:spacing w:line="590" w:lineRule="exact"/>
        <w:jc w:val="center"/>
        <w:rPr>
          <w:rFonts w:ascii="方正公文小标宋" w:hAnsi="方正公文小标宋" w:eastAsia="方正公文小标宋" w:cs="方正公文小标宋"/>
          <w:sz w:val="36"/>
          <w:szCs w:val="36"/>
        </w:rPr>
      </w:pPr>
      <w:r>
        <w:rPr>
          <w:rFonts w:hint="eastAsia" w:ascii="方正小标宋_GBK" w:hAnsi="方正小标宋_GBK" w:eastAsia="方正小标宋_GBK" w:cs="方正小标宋_GBK"/>
          <w:sz w:val="36"/>
          <w:szCs w:val="36"/>
        </w:rPr>
        <w:t>辩论赛题库（10题）</w:t>
      </w:r>
    </w:p>
    <w:bookmarkEnd w:id="2"/>
    <w:bookmarkEnd w:id="3"/>
    <w:p w14:paraId="5A23680D">
      <w:pPr>
        <w:adjustRightInd w:val="0"/>
        <w:snapToGrid w:val="0"/>
        <w:spacing w:line="590" w:lineRule="exact"/>
        <w:ind w:firstLine="640" w:firstLineChars="200"/>
        <w:rPr>
          <w:rFonts w:ascii="黑体" w:hAnsi="黑体" w:eastAsia="黑体" w:cs="黑体"/>
          <w:sz w:val="32"/>
          <w:szCs w:val="32"/>
        </w:rPr>
      </w:pPr>
    </w:p>
    <w:p w14:paraId="01442551">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一、运营导向类</w:t>
      </w:r>
    </w:p>
    <w:p w14:paraId="0BA0D546">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辩题1：</w:t>
      </w:r>
      <w:r>
        <w:rPr>
          <w:rFonts w:hint="eastAsia" w:ascii="仿宋_GB2312" w:hAnsi="仿宋_GB2312" w:eastAsia="仿宋_GB2312" w:cs="仿宋_GB2312"/>
          <w:sz w:val="32"/>
          <w:szCs w:val="32"/>
        </w:rPr>
        <w:t>医院绩效改革，应当以医疗质量为核心指标/应当以运营效率为核心指标</w:t>
      </w:r>
    </w:p>
    <w:p w14:paraId="44E69C16">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医院绩效改革，应当以医疗质量为核心指标。</w:t>
      </w:r>
    </w:p>
    <w:p w14:paraId="5D16BCA0">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医院的根本使命是救死扶伤，绩效改革必须坚持以医疗质量为核心，引导医务人员回归医疗本质，确保患者安全与疗效，这是公立医院公益性的根本体现，也是实现可持续发展的长远基石。</w:t>
      </w:r>
    </w:p>
    <w:p w14:paraId="58FF8064">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医院绩效改革，应当以运营效率为核心指标。</w:t>
      </w:r>
    </w:p>
    <w:p w14:paraId="4EA9344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在医疗资源普遍紧张的现状下，绩效改革应优先关注运营效率，通过优化流程、降低成本、提高资源周转率，才能在有限条件下服务更多患者，实现医院的生存与良性运转，为提升质量提供物质基础。</w:t>
      </w:r>
    </w:p>
    <w:p w14:paraId="756B642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辩题2：</w:t>
      </w:r>
      <w:r>
        <w:rPr>
          <w:rFonts w:hint="eastAsia" w:ascii="仿宋_GB2312" w:hAnsi="仿宋_GB2312" w:eastAsia="仿宋_GB2312" w:cs="仿宋_GB2312"/>
          <w:sz w:val="32"/>
          <w:szCs w:val="32"/>
        </w:rPr>
        <w:t>提升医院综合效益，关键在于加强内部成本管控/关键在于拓展外部市场营收</w:t>
      </w:r>
    </w:p>
    <w:p w14:paraId="7AEDFEEF">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提升医院综合效益，关键在于加强内部成本管控，“向管理要效益”是根本。</w:t>
      </w:r>
    </w:p>
    <w:p w14:paraId="66F4216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通过精细化成本管控、杜绝浪费、优化资源配置，可以直接提升利润率，这是稳健且可持续的内生式发展路径，风险可控，更能体现运营管理的专业价值。</w:t>
      </w:r>
    </w:p>
    <w:p w14:paraId="5E2312D4">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提升医院综合效益，关键在于拓展外部市场营收，“发展是硬道理”。</w:t>
      </w:r>
    </w:p>
    <w:p w14:paraId="2E2BFA17">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在医保控费大背景下，仅靠节流空间有限，必须积极开拓健康管理、特需服务、互联网医疗等新市场与新业务，扩大收入来源，才能实现效益的跨越式增长。</w:t>
      </w:r>
    </w:p>
    <w:p w14:paraId="14D504D6">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二、资源配置类</w:t>
      </w:r>
    </w:p>
    <w:p w14:paraId="694063EA">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辩题3：</w:t>
      </w:r>
      <w:r>
        <w:rPr>
          <w:rFonts w:hint="eastAsia" w:ascii="仿宋_GB2312" w:hAnsi="仿宋_GB2312" w:eastAsia="仿宋_GB2312" w:cs="仿宋_GB2312"/>
          <w:sz w:val="32"/>
          <w:szCs w:val="32"/>
        </w:rPr>
        <w:t>有限预算下，医院应当优先改善医务人员待遇/应当优先更新医疗设备</w:t>
      </w:r>
    </w:p>
    <w:p w14:paraId="08C33C13">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有限预算下，医院应当优先改善医务人员待遇，“人才是第一资源”。</w:t>
      </w:r>
    </w:p>
    <w:p w14:paraId="366AD100">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优先改善医务人员待遇，能有效提升积极性、稳定队伍、吸引人才，通过“人”的主观能动性可以最大化现有设备的价值，这是提升医院核心竞争力的根本。</w:t>
      </w:r>
    </w:p>
    <w:p w14:paraId="736CC99A">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有限预算下，医院应当应当优先更新医疗设备，“工欲善其事，必先利其器”。</w:t>
      </w:r>
    </w:p>
    <w:p w14:paraId="295791D8">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优先更新医疗设备能直接提升诊疗能力、拓展新技术项目、提高服务效率，从而吸引更多患者、创造更大效益，最终反哺于人员待遇的提升。</w:t>
      </w:r>
    </w:p>
    <w:p w14:paraId="6F7BA35A">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辩题4：</w:t>
      </w:r>
      <w:r>
        <w:rPr>
          <w:rFonts w:hint="eastAsia" w:ascii="仿宋_GB2312" w:hAnsi="仿宋_GB2312" w:eastAsia="仿宋_GB2312" w:cs="仿宋_GB2312"/>
          <w:sz w:val="32"/>
          <w:szCs w:val="32"/>
        </w:rPr>
        <w:t>引进高层次人才，医院应更侧重临床学科带头人/应更侧重专业运营管理人才</w:t>
      </w:r>
    </w:p>
    <w:p w14:paraId="5D85EF92">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引进高层次人才，医院应更侧重临床学科带头人。</w:t>
      </w:r>
    </w:p>
    <w:p w14:paraId="5090D35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临床学科带头人是医院技术品牌的旗帜，能直接提升疑难重症诊疗水平、带动学科发展、吸引患者，其社会影响力和技术辐射效应是医院发展的直接驱动力。</w:t>
      </w:r>
    </w:p>
    <w:p w14:paraId="74CDB28A">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引进高层次人才，医院应更侧重专业运营管理人才。</w:t>
      </w:r>
    </w:p>
    <w:p w14:paraId="71BBDCFB">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现代医院竞争已进入“管理制胜”时代。专业的运营管理人才能够优化资源配置、创新服务模式、控制运行成本、提升整体效能，这是医院实现精细化、高质量发展的关键短板和急需力量。</w:t>
      </w:r>
    </w:p>
    <w:p w14:paraId="310CCADD">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三、支付改革类</w:t>
      </w:r>
    </w:p>
    <w:p w14:paraId="479056D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辩题5：</w:t>
      </w:r>
      <w:r>
        <w:rPr>
          <w:rFonts w:hint="eastAsia" w:ascii="仿宋_GB2312" w:hAnsi="仿宋_GB2312" w:eastAsia="仿宋_GB2312" w:cs="仿宋_GB2312"/>
          <w:sz w:val="32"/>
          <w:szCs w:val="32"/>
        </w:rPr>
        <w:t>DRG/DIP支付方式下，医院应当发展优势专科做强做精/应当发展全科医学做大做全</w:t>
      </w:r>
    </w:p>
    <w:p w14:paraId="2954CD2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DRG/DIP支付方式下，医院应当发展优势专科做强做精。</w:t>
      </w:r>
    </w:p>
    <w:p w14:paraId="16EDEA8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支付改革鼓励“同病同价”，技术领先、效率更高的优势专科能在竞争中形成成本优势与品牌效应，实现“做精一科，带动全院”的差异化发展。</w:t>
      </w:r>
    </w:p>
    <w:p w14:paraId="7A9F3F6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DRG/DIP支付方式下，医院应当发展全科医学做大做全。</w:t>
      </w:r>
    </w:p>
    <w:p w14:paraId="7C97C55B">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支付改革下，病种覆盖能力直接影响收入总量。发展全科医学、扩大收治范围，能更好地适应政策、服务社区、实现规模效应，增强医院经营的稳定性和抗风险能力。</w:t>
      </w:r>
    </w:p>
    <w:p w14:paraId="16FB33E9">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辩题6：</w:t>
      </w:r>
      <w:r>
        <w:rPr>
          <w:rFonts w:hint="eastAsia" w:ascii="仿宋_GB2312" w:hAnsi="仿宋_GB2312" w:eastAsia="仿宋_GB2312" w:cs="仿宋_GB2312"/>
          <w:sz w:val="32"/>
          <w:szCs w:val="32"/>
        </w:rPr>
        <w:t>应对医保支付改革，医院更应着力于优化临床路径、规范诊疗行为/更应着力于调整病种结构、选择优势病组</w:t>
      </w:r>
    </w:p>
    <w:p w14:paraId="656A01BF">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应对医保支付改革，医院更应着力于优化临床路径、规范诊疗行为。</w:t>
      </w:r>
    </w:p>
    <w:p w14:paraId="7A5DA1B1">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支付改革的本质是“价值医疗”。优化临床路径、规范诊疗是从医疗本质出发，在保证质量的前提下科学控费，是可持续、有尊严的适应方式，能从根本上提升医院内涵。</w:t>
      </w:r>
    </w:p>
    <w:p w14:paraId="7646AD5C">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应对医保支付改革，医院更应着力于调整病种结构、选择优势病组。</w:t>
      </w:r>
    </w:p>
    <w:p w14:paraId="0C4FC235">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医院作为经营主体，必须讲求策略。通过分析数据，主动调整收治病种结构，聚焦于自身有成本优势或技术优势的病组，是更直接、更有效的财务生存与发展策略。</w:t>
      </w:r>
    </w:p>
    <w:p w14:paraId="16354ECE">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四、信息化建设类</w:t>
      </w:r>
    </w:p>
    <w:p w14:paraId="75788A53">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辩题7：</w:t>
      </w:r>
      <w:r>
        <w:rPr>
          <w:rFonts w:hint="eastAsia" w:ascii="仿宋_GB2312" w:hAnsi="仿宋_GB2312" w:eastAsia="仿宋_GB2312" w:cs="仿宋_GB2312"/>
          <w:sz w:val="32"/>
          <w:szCs w:val="32"/>
        </w:rPr>
        <w:t>医院数字化转型应当自上而下顶层设计推动/应当自下而上需求驱动发展</w:t>
      </w:r>
    </w:p>
    <w:p w14:paraId="5E0B56B3">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医院数字化转型应当自上而下顶层设计推动。</w:t>
      </w:r>
    </w:p>
    <w:p w14:paraId="40AB5720">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数字化转型是系统工程，必须由顶层设计统一规划，建立标准、打破孤岛、统筹资源，避免重复建设和信息割裂，确保整体战略目标的实现。</w:t>
      </w:r>
    </w:p>
    <w:p w14:paraId="22A37C05">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医院数字化转型应当自下而上需求驱动发展。</w:t>
      </w:r>
    </w:p>
    <w:p w14:paraId="429E6808">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真正的需求来自一线。自下而上由临床和运营的实际痛点驱动创新，通过局部试点、快速迭代，更容易取得实效、获得支持，是成本更低、阻力更小的发展路径。</w:t>
      </w:r>
    </w:p>
    <w:p w14:paraId="6D3AC86A">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辩题8：</w:t>
      </w:r>
      <w:r>
        <w:rPr>
          <w:rFonts w:hint="eastAsia" w:ascii="仿宋_GB2312" w:hAnsi="仿宋_GB2312" w:eastAsia="仿宋_GB2312" w:cs="仿宋_GB2312"/>
          <w:sz w:val="32"/>
          <w:szCs w:val="32"/>
        </w:rPr>
        <w:t>智慧医院建设的有限资金，应优先投入临床诊疗智能化系统/应优先投入医院运营管理智能化系统</w:t>
      </w:r>
    </w:p>
    <w:p w14:paraId="0968DE36">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智慧医院建设的有限资金，应优先投入临床诊疗智能化系统。</w:t>
      </w:r>
    </w:p>
    <w:p w14:paraId="4BA0076B">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医院的核心是医疗。优先投入AI辅助诊断、智慧手术等临床诊疗系统，能直接提升医疗安全、技术水平和患者疗效，是智慧医院价值最直观的体现。</w:t>
      </w:r>
    </w:p>
    <w:p w14:paraId="69E5F1C8">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智慧医院建设的有限资金，应优先投入医院运营管理智能化系统。</w:t>
      </w:r>
    </w:p>
    <w:p w14:paraId="53C33746">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运营管理是医院的“底盘”。优先投入智能物流、能耗管理、智慧安防等运营系统，能显著降本增效、优化患者体验、保障医院安全有序运行，为临床发展提供坚实基础。</w:t>
      </w:r>
    </w:p>
    <w:p w14:paraId="2FDCFB91">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五、医院发展类</w:t>
      </w:r>
    </w:p>
    <w:p w14:paraId="48E0AABE">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辩题9：</w:t>
      </w:r>
      <w:r>
        <w:rPr>
          <w:rFonts w:hint="eastAsia" w:ascii="仿宋_GB2312" w:hAnsi="仿宋_GB2312" w:eastAsia="仿宋_GB2312" w:cs="仿宋_GB2312"/>
          <w:sz w:val="32"/>
          <w:szCs w:val="32"/>
        </w:rPr>
        <w:t>实现公立医院高质量发展，关键在于争取更多的政府财政投入与政策支持/关键在于深化内部管理体制与运行机制改革</w:t>
      </w:r>
    </w:p>
    <w:p w14:paraId="1CFBB3FA">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实现公立医院高质量发展，关键在于争取更多的政府财政投入与政策支持。</w:t>
      </w:r>
    </w:p>
    <w:p w14:paraId="18EE8646">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公立医院承担了大量公益职责，其高质量发展离不开政府的持续投入和合理的政策环境（如医疗服务价格调整）。这是保障其公益性、减轻运营压力、使其能安心聚焦质量提升的外部基础。</w:t>
      </w:r>
    </w:p>
    <w:p w14:paraId="0DFBD4AC">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实现公立医院高质量发展，关键在于深化内部管理体制与运行机制改革。</w:t>
      </w:r>
    </w:p>
    <w:p w14:paraId="54EE6060">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内因是决定因素。无论外部环境如何，医院都必须通过深化内部改革，建立现代医院管理制度，激发人员活力，优化服务流程，提升运营效能，这才是高质量发展的根本内驱力。</w:t>
      </w:r>
    </w:p>
    <w:p w14:paraId="5DB3E1C6">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辩题10：</w:t>
      </w:r>
      <w:r>
        <w:rPr>
          <w:rFonts w:hint="eastAsia" w:ascii="仿宋_GB2312" w:hAnsi="仿宋_GB2312" w:eastAsia="仿宋_GB2312" w:cs="仿宋_GB2312"/>
          <w:sz w:val="32"/>
          <w:szCs w:val="32"/>
        </w:rPr>
        <w:t>在区域医疗竞争中，医院的核心优势应建立在顶尖的医疗技术实力上/应建立在卓越的患者服务体验与品牌口碑上</w:t>
      </w:r>
    </w:p>
    <w:p w14:paraId="341091F0">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正方观点：</w:t>
      </w:r>
      <w:r>
        <w:rPr>
          <w:rFonts w:hint="eastAsia" w:ascii="仿宋_GB2312" w:hAnsi="仿宋_GB2312" w:eastAsia="仿宋_GB2312" w:cs="仿宋_GB2312"/>
          <w:sz w:val="32"/>
          <w:szCs w:val="32"/>
        </w:rPr>
        <w:t>在区域医疗竞争中，医院的核心优势应建立在顶尖的医疗技术实力上。</w:t>
      </w:r>
    </w:p>
    <w:p w14:paraId="718BB6CE">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医疗本质是技术。顶尖的医疗技术实力是解决疑难杂症、吸引危重患者的硬核资本，是医院学术地位和行业声誉的基石，技术突破带来的品牌效应是持久且难以替代的。</w:t>
      </w:r>
    </w:p>
    <w:p w14:paraId="6DD9EDE9">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反方观点：</w:t>
      </w:r>
      <w:r>
        <w:rPr>
          <w:rFonts w:hint="eastAsia" w:ascii="仿宋_GB2312" w:hAnsi="仿宋_GB2312" w:eastAsia="仿宋_GB2312" w:cs="仿宋_GB2312"/>
          <w:sz w:val="32"/>
          <w:szCs w:val="32"/>
        </w:rPr>
        <w:t>在区域医疗竞争中，医院的核心优势应建立在卓越的患者服务体验与品牌口碑上。</w:t>
      </w:r>
    </w:p>
    <w:p w14:paraId="39717C07">
      <w:pPr>
        <w:adjustRightInd w:val="0"/>
        <w:snapToGrid w:val="0"/>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对于大多数患者而言，就医体验同样至关重要。卓越的服务流程、人文关怀、环境设施和沟通体验，能构建强大的患者忠诚度和口碑传播，这是在同质化技术竞争中脱颖而出的软实力关键。</w:t>
      </w:r>
    </w:p>
    <w:p w14:paraId="542E966A">
      <w:pPr>
        <w:adjustRightInd w:val="0"/>
        <w:snapToGrid w:val="0"/>
        <w:spacing w:line="590" w:lineRule="exact"/>
        <w:rPr>
          <w:rFonts w:ascii="黑体" w:hAnsi="黑体" w:eastAsia="黑体" w:cs="黑体"/>
          <w:sz w:val="32"/>
          <w:szCs w:val="32"/>
        </w:rPr>
      </w:pPr>
      <w:r>
        <w:rPr>
          <w:rFonts w:hint="eastAsia" w:ascii="黑体" w:hAnsi="黑体" w:eastAsia="黑体" w:cs="黑体"/>
          <w:sz w:val="32"/>
          <w:szCs w:val="32"/>
        </w:rPr>
        <w:br w:type="page"/>
      </w:r>
    </w:p>
    <w:p w14:paraId="0CFE86FD">
      <w:pPr>
        <w:adjustRightInd w:val="0"/>
        <w:snapToGrid w:val="0"/>
        <w:spacing w:line="590" w:lineRule="exact"/>
        <w:rPr>
          <w:rFonts w:ascii="黑体" w:hAnsi="黑体" w:eastAsia="黑体" w:cs="黑体"/>
          <w:sz w:val="32"/>
          <w:szCs w:val="32"/>
        </w:rPr>
      </w:pPr>
      <w:r>
        <w:rPr>
          <w:rFonts w:hint="eastAsia" w:ascii="黑体" w:hAnsi="黑体" w:eastAsia="黑体" w:cs="黑体"/>
          <w:sz w:val="32"/>
          <w:szCs w:val="32"/>
        </w:rPr>
        <w:t>辩题使用说明</w:t>
      </w:r>
    </w:p>
    <w:p w14:paraId="318F9CD3">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一、题目设计特点</w:t>
      </w:r>
    </w:p>
    <w:p w14:paraId="575E2BB9">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现实针对性：所有辩题均源自当前医院运营管理中的真实困境与战略抉择，具有强烈的现实意义。</w:t>
      </w:r>
    </w:p>
    <w:p w14:paraId="7D309795">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观点平衡性：正反双方立场均有坚实的理论依据、政策背景和实践案例支撑，确保辩论的公平性与思辨深度。</w:t>
      </w:r>
    </w:p>
    <w:p w14:paraId="06AE160D">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内涵延展性：每个辩题均可从宏观政策、中观管理、微观操作等多个层面进行剖析，适合不同知识结构的辩手发挥。</w:t>
      </w:r>
    </w:p>
    <w:p w14:paraId="516D1349">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价值引领性：题目旨在引导对医院高质量发展、公益性实现、现代化治理等深层价值的探讨。</w:t>
      </w:r>
    </w:p>
    <w:p w14:paraId="38EC12B2">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评审侧重维度</w:t>
      </w:r>
    </w:p>
    <w:p w14:paraId="6C60C7EC">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评委在评判围绕这些辩题的辩论时，将特别关注：</w:t>
      </w:r>
    </w:p>
    <w:p w14:paraId="47E870B2">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论据的扎实度：是否熟练、准确地运用政策、数据和事实。</w:t>
      </w:r>
    </w:p>
    <w:p w14:paraId="4BF7EDEF">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逻辑的严密性：论证过程是否环环相扣，有效抵御对方质询。</w:t>
      </w:r>
    </w:p>
    <w:p w14:paraId="16124FF7">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视角的创新性：能否提出超越常规、富有启发性的见解或解决方案。</w:t>
      </w:r>
    </w:p>
    <w:p w14:paraId="72B34BAE">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实践的可行性：所持观点和主张是否考虑到医院运营的实际约束条件，具备落地可能。</w:t>
      </w:r>
    </w:p>
    <w:p w14:paraId="3D04F322">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ascii="仿宋_GB2312" w:hAnsi="仿宋_GB2312" w:eastAsia="仿宋_GB2312" w:cs="仿宋_GB2312"/>
          <w:sz w:val="32"/>
          <w:szCs w:val="32"/>
        </w:rPr>
        <w:t>表达的感染力：能否清晰、有力、生动地陈述观点，引发共鸣。</w:t>
      </w:r>
    </w:p>
    <w:p w14:paraId="5B004A3A">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、知识产权声明</w:t>
      </w:r>
    </w:p>
    <w:p w14:paraId="07E56108">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本套辩题库旨在通过思辨交锋，深度触及医院运营管理的核心命题与前沿挑战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由福建省医院协会医院运营管理分会学术委员会组织专家研制，版权归分会所有，仅限本次辩论赛及相关学术活动使用，未经书面授权不得用于其他商业或竞赛目的。</w:t>
      </w:r>
    </w:p>
    <w:p w14:paraId="3562C264">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不仅是竞赛的工具，更是启发全省医院管理者深入思考、交流互鉴的媒介。我们期待通过辩论，激荡智慧，凝聚共识，为福建省医院的高质量发展贡献管理智慧。</w:t>
      </w:r>
    </w:p>
    <w:p w14:paraId="52777C4A">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742A1D9">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517180F0">
      <w:pPr>
        <w:adjustRightInd w:val="0"/>
        <w:snapToGrid w:val="0"/>
        <w:spacing w:line="59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“思辨运营  智创未来”辩论赛报名表</w:t>
      </w:r>
    </w:p>
    <w:tbl>
      <w:tblPr>
        <w:tblStyle w:val="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2480"/>
        <w:gridCol w:w="2481"/>
      </w:tblGrid>
      <w:tr w14:paraId="54DD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1C6F51E3">
            <w:pPr>
              <w:adjustRightInd w:val="0"/>
              <w:snapToGrid w:val="0"/>
              <w:spacing w:before="200" w:after="100"/>
              <w:outlineLvl w:val="0"/>
              <w:rPr>
                <w:rFonts w:ascii="黑体" w:hAnsi="黑体" w:eastAsia="黑体" w:cs="黑体"/>
                <w:sz w:val="24"/>
              </w:rPr>
            </w:pPr>
            <w:r>
              <w:rPr>
                <w:rFonts w:hint="eastAsia" w:ascii="黑体" w:eastAsia="黑体"/>
                <w:sz w:val="32"/>
              </w:rPr>
              <w:t>第一部分：队伍基本信息</w:t>
            </w:r>
          </w:p>
        </w:tc>
      </w:tr>
      <w:tr w14:paraId="7236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448A928C">
            <w:pPr>
              <w:adjustRightInd w:val="0"/>
              <w:snapToGrid w:val="0"/>
              <w:rPr>
                <w:rFonts w:ascii="黑体" w:hAnsi="黑体" w:eastAsia="黑体" w:cs="黑体"/>
                <w:sz w:val="24"/>
              </w:rPr>
            </w:pPr>
            <w:r>
              <w:rPr>
                <w:rFonts w:hint="eastAsia" w:ascii="黑体" w:hAnsi="黑体" w:eastAsia="黑体" w:cs="黑体"/>
                <w:sz w:val="24"/>
              </w:rPr>
              <w:t>队伍名称</w:t>
            </w:r>
          </w:p>
        </w:tc>
        <w:tc>
          <w:tcPr>
            <w:tcW w:w="4961" w:type="dxa"/>
            <w:gridSpan w:val="2"/>
            <w:vAlign w:val="center"/>
          </w:tcPr>
          <w:p w14:paraId="1D7C6CDC">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（请填写有特色的队伍名称）</w:t>
            </w:r>
          </w:p>
        </w:tc>
      </w:tr>
      <w:tr w14:paraId="4121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0AFD2CED">
            <w:pPr>
              <w:adjustRightInd w:val="0"/>
              <w:snapToGrid w:val="0"/>
              <w:rPr>
                <w:rFonts w:ascii="黑体" w:hAnsi="黑体" w:eastAsia="黑体" w:cs="黑体"/>
                <w:sz w:val="24"/>
              </w:rPr>
            </w:pPr>
            <w:r>
              <w:rPr>
                <w:rFonts w:hint="eastAsia" w:ascii="黑体" w:hAnsi="黑体" w:eastAsia="黑体" w:cs="黑体"/>
                <w:sz w:val="24"/>
              </w:rPr>
              <w:t>代表单位</w:t>
            </w:r>
          </w:p>
        </w:tc>
        <w:tc>
          <w:tcPr>
            <w:tcW w:w="4961" w:type="dxa"/>
            <w:gridSpan w:val="2"/>
            <w:vAlign w:val="center"/>
          </w:tcPr>
          <w:p w14:paraId="2A422F07">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（主报单位全称）</w:t>
            </w:r>
          </w:p>
        </w:tc>
      </w:tr>
      <w:tr w14:paraId="460A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21BDFA57">
            <w:pPr>
              <w:adjustRightInd w:val="0"/>
              <w:snapToGrid w:val="0"/>
              <w:rPr>
                <w:rFonts w:ascii="黑体" w:hAnsi="黑体" w:eastAsia="黑体" w:cs="黑体"/>
                <w:sz w:val="24"/>
              </w:rPr>
            </w:pPr>
            <w:r>
              <w:rPr>
                <w:rFonts w:hint="eastAsia" w:ascii="黑体" w:hAnsi="黑体" w:eastAsia="黑体" w:cs="黑体"/>
                <w:sz w:val="24"/>
              </w:rPr>
              <w:t>联合单位</w:t>
            </w:r>
          </w:p>
        </w:tc>
        <w:tc>
          <w:tcPr>
            <w:tcW w:w="4961" w:type="dxa"/>
            <w:gridSpan w:val="2"/>
            <w:vAlign w:val="center"/>
          </w:tcPr>
          <w:p w14:paraId="70E5C513">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（如为跨单位组队，请填写其他参与单位名称）</w:t>
            </w:r>
          </w:p>
        </w:tc>
      </w:tr>
      <w:tr w14:paraId="3255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5AAF2732">
            <w:pPr>
              <w:adjustRightInd w:val="0"/>
              <w:snapToGrid w:val="0"/>
              <w:rPr>
                <w:rFonts w:ascii="黑体" w:hAnsi="黑体" w:eastAsia="黑体" w:cs="黑体"/>
                <w:sz w:val="24"/>
              </w:rPr>
            </w:pPr>
            <w:r>
              <w:rPr>
                <w:rFonts w:hint="eastAsia" w:ascii="黑体" w:hAnsi="黑体" w:eastAsia="黑体" w:cs="黑体"/>
                <w:sz w:val="24"/>
              </w:rPr>
              <w:t>队伍构成特色</w:t>
            </w:r>
          </w:p>
        </w:tc>
        <w:tc>
          <w:tcPr>
            <w:tcW w:w="4961" w:type="dxa"/>
            <w:gridSpan w:val="2"/>
            <w:vAlign w:val="center"/>
          </w:tcPr>
          <w:p w14:paraId="34F7B119">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请勾选队伍成员的专业背景构成（可多选）：</w:t>
            </w:r>
          </w:p>
          <w:p w14:paraId="14BEE3CF">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□运营管理□财务管理□医保管理</w:t>
            </w:r>
          </w:p>
          <w:p w14:paraId="5D6DAF39">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□信息管理□临床医学□护理管理</w:t>
            </w:r>
          </w:p>
          <w:p w14:paraId="15353CC2">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□后勤管理□其他：</w:t>
            </w:r>
          </w:p>
        </w:tc>
      </w:tr>
      <w:tr w14:paraId="6036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960" w:type="dxa"/>
            <w:gridSpan w:val="2"/>
            <w:vAlign w:val="center"/>
          </w:tcPr>
          <w:p w14:paraId="6ED33901">
            <w:pPr>
              <w:adjustRightInd w:val="0"/>
              <w:snapToGrid w:val="0"/>
              <w:rPr>
                <w:rFonts w:ascii="黑体" w:hAnsi="黑体" w:eastAsia="黑体" w:cs="黑体"/>
                <w:sz w:val="24"/>
              </w:rPr>
            </w:pPr>
            <w:r>
              <w:rPr>
                <w:rFonts w:hint="eastAsia" w:ascii="黑体" w:hAnsi="黑体" w:eastAsia="黑体" w:cs="黑体"/>
                <w:sz w:val="24"/>
              </w:rPr>
              <w:t>队伍优势与特点</w:t>
            </w:r>
          </w:p>
        </w:tc>
        <w:tc>
          <w:tcPr>
            <w:tcW w:w="4961" w:type="dxa"/>
            <w:gridSpan w:val="2"/>
            <w:vAlign w:val="center"/>
          </w:tcPr>
          <w:p w14:paraId="7B73C53C">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（请简要描述队伍的优势，如：专业背景互补、辩论经验丰富、团队协作能力强等）</w:t>
            </w:r>
          </w:p>
        </w:tc>
      </w:tr>
      <w:tr w14:paraId="7EEB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29CC54DE">
            <w:pPr>
              <w:adjustRightInd w:val="0"/>
              <w:snapToGrid w:val="0"/>
              <w:rPr>
                <w:rFonts w:ascii="黑体" w:hAnsi="黑体" w:eastAsia="黑体" w:cs="黑体"/>
                <w:sz w:val="24"/>
              </w:rPr>
            </w:pPr>
            <w:r>
              <w:rPr>
                <w:rFonts w:hint="eastAsia" w:ascii="黑体" w:hAnsi="黑体" w:eastAsia="黑体" w:cs="黑体"/>
                <w:sz w:val="24"/>
              </w:rPr>
              <w:t>队伍口号</w:t>
            </w:r>
          </w:p>
        </w:tc>
        <w:tc>
          <w:tcPr>
            <w:tcW w:w="4961" w:type="dxa"/>
            <w:gridSpan w:val="2"/>
            <w:vAlign w:val="center"/>
          </w:tcPr>
          <w:p w14:paraId="646AB6AC">
            <w:pPr>
              <w:adjustRightInd w:val="0"/>
              <w:snapToGrid w:val="0"/>
              <w:rPr>
                <w:rFonts w:ascii="仿宋_GB2312" w:hAnsi="仿宋_GB2312" w:eastAsia="仿宋_GB2312" w:cs="仿宋_GB2312"/>
                <w:sz w:val="24"/>
              </w:rPr>
            </w:pPr>
          </w:p>
        </w:tc>
      </w:tr>
      <w:tr w14:paraId="6D1F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19D9FAD3">
            <w:pPr>
              <w:adjustRightInd w:val="0"/>
              <w:snapToGrid w:val="0"/>
              <w:rPr>
                <w:rFonts w:ascii="黑体" w:hAnsi="黑体" w:eastAsia="黑体" w:cs="黑体"/>
                <w:sz w:val="24"/>
              </w:rPr>
            </w:pPr>
            <w:r>
              <w:rPr>
                <w:rFonts w:hint="eastAsia" w:ascii="黑体" w:hAnsi="黑体" w:eastAsia="黑体" w:cs="黑体"/>
                <w:sz w:val="24"/>
              </w:rPr>
              <w:t>联系人</w:t>
            </w:r>
          </w:p>
        </w:tc>
        <w:tc>
          <w:tcPr>
            <w:tcW w:w="2480" w:type="dxa"/>
            <w:vAlign w:val="center"/>
          </w:tcPr>
          <w:p w14:paraId="240AF9A8">
            <w:pPr>
              <w:adjustRightInd w:val="0"/>
              <w:snapToGrid w:val="0"/>
              <w:rPr>
                <w:rFonts w:ascii="黑体" w:hAnsi="黑体" w:eastAsia="黑体" w:cs="黑体"/>
                <w:sz w:val="24"/>
              </w:rPr>
            </w:pPr>
          </w:p>
        </w:tc>
        <w:tc>
          <w:tcPr>
            <w:tcW w:w="2480" w:type="dxa"/>
            <w:vAlign w:val="center"/>
          </w:tcPr>
          <w:p w14:paraId="7E5B14CB">
            <w:pPr>
              <w:adjustRightInd w:val="0"/>
              <w:snapToGrid w:val="0"/>
              <w:rPr>
                <w:rFonts w:ascii="仿宋" w:eastAsia="黑体"/>
                <w:sz w:val="24"/>
              </w:rPr>
            </w:pPr>
            <w:r>
              <w:rPr>
                <w:rFonts w:hint="eastAsia" w:ascii="黑体" w:hAnsi="黑体" w:eastAsia="黑体" w:cs="黑体"/>
                <w:sz w:val="24"/>
              </w:rPr>
              <w:t>联系电话</w:t>
            </w:r>
          </w:p>
        </w:tc>
        <w:tc>
          <w:tcPr>
            <w:tcW w:w="2481" w:type="dxa"/>
            <w:vAlign w:val="center"/>
          </w:tcPr>
          <w:p w14:paraId="1497AC11">
            <w:pPr>
              <w:adjustRightInd w:val="0"/>
              <w:snapToGrid w:val="0"/>
              <w:rPr>
                <w:rFonts w:ascii="仿宋" w:eastAsia="仿宋"/>
                <w:sz w:val="24"/>
              </w:rPr>
            </w:pPr>
          </w:p>
        </w:tc>
      </w:tr>
      <w:tr w14:paraId="25F1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34E2639E">
            <w:pPr>
              <w:adjustRightInd w:val="0"/>
              <w:snapToGrid w:val="0"/>
              <w:rPr>
                <w:rFonts w:ascii="仿宋" w:eastAsia="仿宋"/>
                <w:sz w:val="24"/>
              </w:rPr>
            </w:pPr>
            <w:r>
              <w:rPr>
                <w:rFonts w:hint="eastAsia" w:ascii="黑体" w:eastAsia="黑体"/>
                <w:sz w:val="32"/>
              </w:rPr>
              <w:t>第二部分：团队成员信息</w:t>
            </w:r>
          </w:p>
        </w:tc>
      </w:tr>
      <w:tr w14:paraId="3313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69FF7D9F">
            <w:pPr>
              <w:adjustRightInd w:val="0"/>
              <w:snapToGrid w:val="0"/>
              <w:rPr>
                <w:rFonts w:ascii="仿宋" w:eastAsia="仿宋"/>
                <w:sz w:val="24"/>
              </w:rPr>
            </w:pPr>
            <w:r>
              <w:rPr>
                <w:rFonts w:hint="eastAsia" w:ascii="楷体" w:eastAsia="楷体"/>
                <w:b/>
                <w:bCs/>
                <w:sz w:val="32"/>
              </w:rPr>
              <w:t>领队（1名，可参与辩论）</w:t>
            </w:r>
          </w:p>
        </w:tc>
      </w:tr>
      <w:tr w14:paraId="569B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1C263F84">
            <w:pPr>
              <w:adjustRightInd w:val="0"/>
              <w:snapToGrid w:val="0"/>
              <w:rPr>
                <w:rFonts w:ascii="黑体" w:hAnsi="黑体" w:eastAsia="黑体" w:cs="黑体"/>
                <w:sz w:val="24"/>
              </w:rPr>
            </w:pPr>
            <w:r>
              <w:rPr>
                <w:rFonts w:hint="eastAsia" w:ascii="黑体" w:hAnsi="黑体" w:eastAsia="黑体" w:cs="黑体"/>
                <w:sz w:val="24"/>
              </w:rPr>
              <w:t>姓名</w:t>
            </w:r>
          </w:p>
        </w:tc>
        <w:tc>
          <w:tcPr>
            <w:tcW w:w="2480" w:type="dxa"/>
            <w:vAlign w:val="center"/>
          </w:tcPr>
          <w:p w14:paraId="096019E5">
            <w:pPr>
              <w:adjustRightInd w:val="0"/>
              <w:snapToGrid w:val="0"/>
              <w:rPr>
                <w:rFonts w:ascii="仿宋" w:eastAsia="仿宋"/>
                <w:sz w:val="24"/>
              </w:rPr>
            </w:pPr>
          </w:p>
        </w:tc>
        <w:tc>
          <w:tcPr>
            <w:tcW w:w="2480" w:type="dxa"/>
            <w:vAlign w:val="center"/>
          </w:tcPr>
          <w:p w14:paraId="1F5E91F0">
            <w:pPr>
              <w:adjustRightInd w:val="0"/>
              <w:snapToGrid w:val="0"/>
              <w:rPr>
                <w:rFonts w:ascii="黑体" w:hAnsi="黑体" w:eastAsia="黑体" w:cs="黑体"/>
                <w:sz w:val="24"/>
              </w:rPr>
            </w:pPr>
            <w:r>
              <w:rPr>
                <w:rFonts w:hint="eastAsia" w:ascii="黑体" w:hAnsi="黑体" w:eastAsia="黑体" w:cs="黑体"/>
                <w:sz w:val="24"/>
              </w:rPr>
              <w:t>性别</w:t>
            </w:r>
          </w:p>
        </w:tc>
        <w:tc>
          <w:tcPr>
            <w:tcW w:w="2481" w:type="dxa"/>
            <w:vAlign w:val="center"/>
          </w:tcPr>
          <w:p w14:paraId="087C1999">
            <w:pPr>
              <w:adjustRightInd w:val="0"/>
              <w:snapToGrid w:val="0"/>
              <w:rPr>
                <w:rFonts w:ascii="仿宋" w:eastAsia="仿宋"/>
                <w:sz w:val="24"/>
              </w:rPr>
            </w:pPr>
            <w:r>
              <w:rPr>
                <w:rFonts w:hint="eastAsia" w:ascii="仿宋" w:eastAsia="仿宋"/>
                <w:sz w:val="24"/>
              </w:rPr>
              <w:t>□男□女</w:t>
            </w:r>
          </w:p>
        </w:tc>
      </w:tr>
      <w:tr w14:paraId="44DE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7418C067">
            <w:pPr>
              <w:adjustRightInd w:val="0"/>
              <w:snapToGrid w:val="0"/>
              <w:rPr>
                <w:rFonts w:ascii="黑体" w:hAnsi="黑体" w:eastAsia="黑体" w:cs="黑体"/>
                <w:sz w:val="24"/>
              </w:rPr>
            </w:pPr>
            <w:r>
              <w:rPr>
                <w:rFonts w:hint="eastAsia" w:ascii="黑体" w:hAnsi="黑体" w:eastAsia="黑体" w:cs="黑体"/>
                <w:sz w:val="24"/>
              </w:rPr>
              <w:t>工作单位</w:t>
            </w:r>
          </w:p>
        </w:tc>
        <w:tc>
          <w:tcPr>
            <w:tcW w:w="2480" w:type="dxa"/>
            <w:vAlign w:val="center"/>
          </w:tcPr>
          <w:p w14:paraId="74B436E6">
            <w:pPr>
              <w:adjustRightInd w:val="0"/>
              <w:snapToGrid w:val="0"/>
              <w:rPr>
                <w:rFonts w:ascii="仿宋" w:eastAsia="仿宋"/>
                <w:sz w:val="24"/>
              </w:rPr>
            </w:pPr>
          </w:p>
        </w:tc>
        <w:tc>
          <w:tcPr>
            <w:tcW w:w="2480" w:type="dxa"/>
            <w:vAlign w:val="center"/>
          </w:tcPr>
          <w:p w14:paraId="4A5DEA82">
            <w:pPr>
              <w:adjustRightInd w:val="0"/>
              <w:snapToGrid w:val="0"/>
              <w:rPr>
                <w:rFonts w:ascii="黑体" w:hAnsi="黑体" w:eastAsia="黑体" w:cs="黑体"/>
                <w:sz w:val="24"/>
              </w:rPr>
            </w:pPr>
            <w:r>
              <w:rPr>
                <w:rFonts w:hint="eastAsia" w:ascii="黑体" w:hAnsi="黑体" w:eastAsia="黑体" w:cs="黑体"/>
                <w:sz w:val="24"/>
              </w:rPr>
              <w:t>所在科室</w:t>
            </w:r>
          </w:p>
        </w:tc>
        <w:tc>
          <w:tcPr>
            <w:tcW w:w="2481" w:type="dxa"/>
            <w:vAlign w:val="center"/>
          </w:tcPr>
          <w:p w14:paraId="48049AF9">
            <w:pPr>
              <w:adjustRightInd w:val="0"/>
              <w:snapToGrid w:val="0"/>
              <w:rPr>
                <w:rFonts w:ascii="仿宋" w:eastAsia="仿宋"/>
                <w:sz w:val="24"/>
              </w:rPr>
            </w:pPr>
          </w:p>
        </w:tc>
      </w:tr>
      <w:tr w14:paraId="2519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1473577D">
            <w:pPr>
              <w:adjustRightInd w:val="0"/>
              <w:snapToGrid w:val="0"/>
              <w:rPr>
                <w:rFonts w:ascii="黑体" w:hAnsi="黑体" w:eastAsia="黑体" w:cs="黑体"/>
                <w:sz w:val="24"/>
              </w:rPr>
            </w:pPr>
            <w:r>
              <w:rPr>
                <w:rFonts w:hint="eastAsia" w:ascii="黑体" w:hAnsi="黑体" w:eastAsia="黑体" w:cs="黑体"/>
                <w:sz w:val="24"/>
              </w:rPr>
              <w:t>职务/职称</w:t>
            </w:r>
          </w:p>
        </w:tc>
        <w:tc>
          <w:tcPr>
            <w:tcW w:w="2480" w:type="dxa"/>
            <w:vAlign w:val="center"/>
          </w:tcPr>
          <w:p w14:paraId="0CEF5034">
            <w:pPr>
              <w:adjustRightInd w:val="0"/>
              <w:snapToGrid w:val="0"/>
              <w:rPr>
                <w:rFonts w:ascii="仿宋" w:eastAsia="仿宋"/>
                <w:sz w:val="24"/>
              </w:rPr>
            </w:pPr>
          </w:p>
        </w:tc>
        <w:tc>
          <w:tcPr>
            <w:tcW w:w="2480" w:type="dxa"/>
            <w:vAlign w:val="center"/>
          </w:tcPr>
          <w:p w14:paraId="0C2E03F7">
            <w:pPr>
              <w:adjustRightInd w:val="0"/>
              <w:snapToGrid w:val="0"/>
              <w:rPr>
                <w:rFonts w:ascii="黑体" w:hAnsi="黑体" w:eastAsia="黑体" w:cs="黑体"/>
                <w:sz w:val="24"/>
              </w:rPr>
            </w:pPr>
            <w:r>
              <w:rPr>
                <w:rFonts w:hint="eastAsia" w:ascii="黑体" w:hAnsi="黑体" w:eastAsia="黑体" w:cs="黑体"/>
                <w:sz w:val="24"/>
              </w:rPr>
              <w:t>联系电话</w:t>
            </w:r>
          </w:p>
        </w:tc>
        <w:tc>
          <w:tcPr>
            <w:tcW w:w="2481" w:type="dxa"/>
            <w:vAlign w:val="center"/>
          </w:tcPr>
          <w:p w14:paraId="49752565">
            <w:pPr>
              <w:adjustRightInd w:val="0"/>
              <w:snapToGrid w:val="0"/>
              <w:rPr>
                <w:rFonts w:ascii="仿宋" w:eastAsia="仿宋"/>
                <w:sz w:val="24"/>
              </w:rPr>
            </w:pPr>
          </w:p>
        </w:tc>
      </w:tr>
      <w:tr w14:paraId="6124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727D18A2">
            <w:pPr>
              <w:adjustRightInd w:val="0"/>
              <w:snapToGrid w:val="0"/>
              <w:rPr>
                <w:rFonts w:ascii="仿宋" w:eastAsia="仿宋"/>
                <w:sz w:val="24"/>
              </w:rPr>
            </w:pPr>
            <w:r>
              <w:rPr>
                <w:rFonts w:hint="eastAsia" w:ascii="楷体" w:eastAsia="楷体"/>
                <w:b/>
                <w:bCs/>
                <w:sz w:val="32"/>
              </w:rPr>
              <w:t>正式辩手（4名，必填）</w:t>
            </w:r>
          </w:p>
        </w:tc>
      </w:tr>
      <w:tr w14:paraId="145C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3F0244AF">
            <w:pPr>
              <w:adjustRightInd w:val="0"/>
              <w:snapToGrid w:val="0"/>
              <w:rPr>
                <w:rFonts w:ascii="仿宋" w:eastAsia="仿宋"/>
                <w:sz w:val="24"/>
              </w:rPr>
            </w:pPr>
            <w:r>
              <w:rPr>
                <w:rFonts w:hint="eastAsia" w:ascii="楷体" w:eastAsia="楷体"/>
                <w:b/>
                <w:bCs/>
                <w:sz w:val="32"/>
              </w:rPr>
              <w:t>辩手一</w:t>
            </w:r>
          </w:p>
        </w:tc>
      </w:tr>
      <w:tr w14:paraId="1360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shd w:val="clear" w:color="auto" w:fill="auto"/>
            <w:vAlign w:val="center"/>
          </w:tcPr>
          <w:p w14:paraId="427A08AA">
            <w:pPr>
              <w:adjustRightInd w:val="0"/>
              <w:snapToGrid w:val="0"/>
              <w:rPr>
                <w:rFonts w:ascii="黑体" w:hAnsi="黑体" w:eastAsia="黑体" w:cs="黑体"/>
                <w:sz w:val="24"/>
              </w:rPr>
            </w:pPr>
            <w:r>
              <w:rPr>
                <w:rFonts w:hint="eastAsia" w:ascii="黑体" w:hAnsi="黑体" w:eastAsia="黑体" w:cs="黑体"/>
                <w:sz w:val="24"/>
              </w:rPr>
              <w:t>姓名</w:t>
            </w:r>
          </w:p>
        </w:tc>
        <w:tc>
          <w:tcPr>
            <w:tcW w:w="2480" w:type="dxa"/>
            <w:shd w:val="clear" w:color="auto" w:fill="auto"/>
            <w:vAlign w:val="center"/>
          </w:tcPr>
          <w:p w14:paraId="01D89690">
            <w:pPr>
              <w:adjustRightInd w:val="0"/>
              <w:snapToGrid w:val="0"/>
              <w:rPr>
                <w:rFonts w:ascii="仿宋" w:eastAsia="仿宋"/>
                <w:sz w:val="24"/>
              </w:rPr>
            </w:pPr>
          </w:p>
        </w:tc>
        <w:tc>
          <w:tcPr>
            <w:tcW w:w="2480" w:type="dxa"/>
            <w:shd w:val="clear" w:color="auto" w:fill="auto"/>
            <w:vAlign w:val="center"/>
          </w:tcPr>
          <w:p w14:paraId="3A48067B">
            <w:pPr>
              <w:adjustRightInd w:val="0"/>
              <w:snapToGrid w:val="0"/>
              <w:rPr>
                <w:rFonts w:ascii="黑体" w:hAnsi="黑体" w:eastAsia="黑体" w:cs="黑体"/>
                <w:sz w:val="24"/>
              </w:rPr>
            </w:pPr>
            <w:r>
              <w:rPr>
                <w:rFonts w:hint="eastAsia" w:ascii="黑体" w:hAnsi="黑体" w:eastAsia="黑体" w:cs="黑体"/>
                <w:sz w:val="24"/>
              </w:rPr>
              <w:t>性别</w:t>
            </w:r>
          </w:p>
        </w:tc>
        <w:tc>
          <w:tcPr>
            <w:tcW w:w="2481" w:type="dxa"/>
            <w:vAlign w:val="center"/>
          </w:tcPr>
          <w:p w14:paraId="0E123511">
            <w:pPr>
              <w:adjustRightInd w:val="0"/>
              <w:snapToGrid w:val="0"/>
              <w:rPr>
                <w:rFonts w:ascii="仿宋" w:eastAsia="仿宋"/>
                <w:sz w:val="24"/>
              </w:rPr>
            </w:pPr>
            <w:r>
              <w:rPr>
                <w:rFonts w:hint="eastAsia" w:ascii="仿宋" w:eastAsia="仿宋"/>
                <w:sz w:val="24"/>
              </w:rPr>
              <w:t>□男□女</w:t>
            </w:r>
          </w:p>
        </w:tc>
      </w:tr>
      <w:tr w14:paraId="64D0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shd w:val="clear" w:color="auto" w:fill="auto"/>
            <w:vAlign w:val="center"/>
          </w:tcPr>
          <w:p w14:paraId="14112133">
            <w:pPr>
              <w:adjustRightInd w:val="0"/>
              <w:snapToGrid w:val="0"/>
              <w:rPr>
                <w:rFonts w:ascii="黑体" w:hAnsi="黑体" w:eastAsia="黑体" w:cs="黑体"/>
                <w:sz w:val="24"/>
              </w:rPr>
            </w:pPr>
            <w:r>
              <w:rPr>
                <w:rFonts w:hint="eastAsia" w:ascii="黑体" w:hAnsi="黑体" w:eastAsia="黑体" w:cs="黑体"/>
                <w:sz w:val="24"/>
              </w:rPr>
              <w:t>工作单位</w:t>
            </w:r>
          </w:p>
        </w:tc>
        <w:tc>
          <w:tcPr>
            <w:tcW w:w="2480" w:type="dxa"/>
            <w:shd w:val="clear" w:color="auto" w:fill="auto"/>
            <w:vAlign w:val="center"/>
          </w:tcPr>
          <w:p w14:paraId="617E0E85">
            <w:pPr>
              <w:adjustRightInd w:val="0"/>
              <w:snapToGrid w:val="0"/>
              <w:rPr>
                <w:rFonts w:ascii="仿宋" w:eastAsia="仿宋"/>
                <w:sz w:val="24"/>
              </w:rPr>
            </w:pPr>
          </w:p>
        </w:tc>
        <w:tc>
          <w:tcPr>
            <w:tcW w:w="2480" w:type="dxa"/>
            <w:shd w:val="clear" w:color="auto" w:fill="auto"/>
            <w:vAlign w:val="center"/>
          </w:tcPr>
          <w:p w14:paraId="04F94824">
            <w:pPr>
              <w:adjustRightInd w:val="0"/>
              <w:snapToGrid w:val="0"/>
              <w:rPr>
                <w:rFonts w:ascii="黑体" w:hAnsi="黑体" w:eastAsia="黑体" w:cs="黑体"/>
                <w:sz w:val="24"/>
              </w:rPr>
            </w:pPr>
            <w:r>
              <w:rPr>
                <w:rFonts w:hint="eastAsia" w:ascii="黑体" w:hAnsi="黑体" w:eastAsia="黑体" w:cs="黑体"/>
                <w:sz w:val="24"/>
              </w:rPr>
              <w:t>所在科室</w:t>
            </w:r>
          </w:p>
        </w:tc>
        <w:tc>
          <w:tcPr>
            <w:tcW w:w="2481" w:type="dxa"/>
            <w:vAlign w:val="center"/>
          </w:tcPr>
          <w:p w14:paraId="5FE9545A">
            <w:pPr>
              <w:adjustRightInd w:val="0"/>
              <w:snapToGrid w:val="0"/>
              <w:rPr>
                <w:rFonts w:ascii="仿宋" w:eastAsia="仿宋"/>
                <w:sz w:val="24"/>
              </w:rPr>
            </w:pPr>
          </w:p>
        </w:tc>
      </w:tr>
      <w:tr w14:paraId="1E71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shd w:val="clear" w:color="auto" w:fill="auto"/>
            <w:vAlign w:val="center"/>
          </w:tcPr>
          <w:p w14:paraId="51EE0E42">
            <w:pPr>
              <w:adjustRightInd w:val="0"/>
              <w:snapToGrid w:val="0"/>
              <w:rPr>
                <w:rFonts w:ascii="黑体" w:hAnsi="黑体" w:eastAsia="黑体" w:cs="黑体"/>
                <w:sz w:val="24"/>
              </w:rPr>
            </w:pPr>
            <w:r>
              <w:rPr>
                <w:rFonts w:hint="eastAsia" w:ascii="黑体" w:hAnsi="黑体" w:eastAsia="黑体" w:cs="黑体"/>
                <w:sz w:val="24"/>
              </w:rPr>
              <w:t>职务/职称</w:t>
            </w:r>
          </w:p>
        </w:tc>
        <w:tc>
          <w:tcPr>
            <w:tcW w:w="2480" w:type="dxa"/>
            <w:shd w:val="clear" w:color="auto" w:fill="auto"/>
            <w:vAlign w:val="center"/>
          </w:tcPr>
          <w:p w14:paraId="6AC36D49">
            <w:pPr>
              <w:adjustRightInd w:val="0"/>
              <w:snapToGrid w:val="0"/>
              <w:rPr>
                <w:rFonts w:ascii="仿宋" w:eastAsia="仿宋"/>
                <w:sz w:val="24"/>
              </w:rPr>
            </w:pPr>
          </w:p>
        </w:tc>
        <w:tc>
          <w:tcPr>
            <w:tcW w:w="2480" w:type="dxa"/>
            <w:shd w:val="clear" w:color="auto" w:fill="auto"/>
            <w:vAlign w:val="center"/>
          </w:tcPr>
          <w:p w14:paraId="5631A8F9">
            <w:pPr>
              <w:adjustRightInd w:val="0"/>
              <w:snapToGrid w:val="0"/>
              <w:rPr>
                <w:rFonts w:ascii="黑体" w:hAnsi="黑体" w:eastAsia="黑体" w:cs="黑体"/>
                <w:sz w:val="24"/>
              </w:rPr>
            </w:pPr>
            <w:r>
              <w:rPr>
                <w:rFonts w:hint="eastAsia" w:ascii="黑体" w:hAnsi="黑体" w:eastAsia="黑体" w:cs="黑体"/>
                <w:sz w:val="24"/>
              </w:rPr>
              <w:t>联系电话</w:t>
            </w:r>
          </w:p>
        </w:tc>
        <w:tc>
          <w:tcPr>
            <w:tcW w:w="2481" w:type="dxa"/>
            <w:vAlign w:val="center"/>
          </w:tcPr>
          <w:p w14:paraId="1098915E">
            <w:pPr>
              <w:adjustRightInd w:val="0"/>
              <w:snapToGrid w:val="0"/>
              <w:rPr>
                <w:rFonts w:ascii="仿宋" w:eastAsia="仿宋"/>
                <w:sz w:val="24"/>
              </w:rPr>
            </w:pPr>
          </w:p>
        </w:tc>
      </w:tr>
      <w:tr w14:paraId="5123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0840DBBD">
            <w:pPr>
              <w:adjustRightInd w:val="0"/>
              <w:snapToGrid w:val="0"/>
              <w:rPr>
                <w:rFonts w:ascii="仿宋" w:eastAsia="仿宋"/>
                <w:sz w:val="24"/>
              </w:rPr>
            </w:pPr>
            <w:r>
              <w:rPr>
                <w:rFonts w:hint="eastAsia" w:ascii="黑体" w:hAnsi="黑体" w:eastAsia="黑体" w:cs="黑体"/>
                <w:sz w:val="24"/>
              </w:rPr>
              <w:t>专业背景</w:t>
            </w:r>
          </w:p>
        </w:tc>
        <w:tc>
          <w:tcPr>
            <w:tcW w:w="4961" w:type="dxa"/>
            <w:gridSpan w:val="2"/>
            <w:vAlign w:val="center"/>
          </w:tcPr>
          <w:p w14:paraId="0516233A">
            <w:pPr>
              <w:adjustRightInd w:val="0"/>
              <w:snapToGrid w:val="0"/>
              <w:rPr>
                <w:rFonts w:ascii="仿宋" w:eastAsia="仿宋"/>
                <w:sz w:val="24"/>
              </w:rPr>
            </w:pPr>
            <w:r>
              <w:rPr>
                <w:rFonts w:hint="eastAsia" w:ascii="仿宋" w:eastAsia="仿宋"/>
                <w:sz w:val="24"/>
              </w:rPr>
              <w:t>□运营管理□财务管理□医保管理</w:t>
            </w:r>
          </w:p>
          <w:p w14:paraId="6114D375">
            <w:pPr>
              <w:adjustRightInd w:val="0"/>
              <w:snapToGrid w:val="0"/>
              <w:rPr>
                <w:rFonts w:ascii="仿宋" w:eastAsia="仿宋"/>
                <w:sz w:val="24"/>
              </w:rPr>
            </w:pPr>
            <w:r>
              <w:rPr>
                <w:rFonts w:hint="eastAsia" w:ascii="仿宋" w:eastAsia="仿宋"/>
                <w:sz w:val="24"/>
              </w:rPr>
              <w:t>□信息管理□临床医学□其他：_______</w:t>
            </w:r>
          </w:p>
        </w:tc>
      </w:tr>
      <w:tr w14:paraId="605B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63894584">
            <w:pPr>
              <w:adjustRightInd w:val="0"/>
              <w:snapToGrid w:val="0"/>
              <w:rPr>
                <w:rFonts w:ascii="仿宋" w:eastAsia="仿宋"/>
                <w:sz w:val="24"/>
              </w:rPr>
            </w:pPr>
            <w:r>
              <w:rPr>
                <w:rFonts w:hint="eastAsia" w:ascii="楷体" w:eastAsia="楷体"/>
                <w:b/>
                <w:bCs/>
                <w:sz w:val="32"/>
              </w:rPr>
              <w:t>辩手二</w:t>
            </w:r>
          </w:p>
        </w:tc>
      </w:tr>
      <w:tr w14:paraId="4741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43BABA01">
            <w:pPr>
              <w:adjustRightInd w:val="0"/>
              <w:snapToGrid w:val="0"/>
              <w:rPr>
                <w:rFonts w:ascii="仿宋" w:eastAsia="黑体"/>
                <w:sz w:val="24"/>
              </w:rPr>
            </w:pPr>
            <w:r>
              <w:rPr>
                <w:rFonts w:hint="eastAsia" w:ascii="黑体" w:hAnsi="黑体" w:eastAsia="黑体" w:cs="黑体"/>
                <w:sz w:val="24"/>
              </w:rPr>
              <w:t>姓名</w:t>
            </w:r>
          </w:p>
        </w:tc>
        <w:tc>
          <w:tcPr>
            <w:tcW w:w="2480" w:type="dxa"/>
            <w:vAlign w:val="center"/>
          </w:tcPr>
          <w:p w14:paraId="6CC6AEE5">
            <w:pPr>
              <w:adjustRightInd w:val="0"/>
              <w:snapToGrid w:val="0"/>
              <w:rPr>
                <w:rFonts w:ascii="仿宋" w:eastAsia="仿宋"/>
                <w:sz w:val="24"/>
              </w:rPr>
            </w:pPr>
          </w:p>
        </w:tc>
        <w:tc>
          <w:tcPr>
            <w:tcW w:w="2480" w:type="dxa"/>
            <w:vAlign w:val="center"/>
          </w:tcPr>
          <w:p w14:paraId="631A5C9D">
            <w:pPr>
              <w:adjustRightInd w:val="0"/>
              <w:snapToGrid w:val="0"/>
              <w:rPr>
                <w:rFonts w:ascii="仿宋" w:eastAsia="仿宋"/>
                <w:sz w:val="24"/>
              </w:rPr>
            </w:pPr>
            <w:r>
              <w:rPr>
                <w:rFonts w:hint="eastAsia" w:ascii="黑体" w:hAnsi="黑体" w:eastAsia="黑体" w:cs="黑体"/>
                <w:sz w:val="24"/>
              </w:rPr>
              <w:t>性别</w:t>
            </w:r>
          </w:p>
        </w:tc>
        <w:tc>
          <w:tcPr>
            <w:tcW w:w="2481" w:type="dxa"/>
            <w:vAlign w:val="center"/>
          </w:tcPr>
          <w:p w14:paraId="3FE56CB0">
            <w:pPr>
              <w:adjustRightInd w:val="0"/>
              <w:snapToGrid w:val="0"/>
              <w:rPr>
                <w:rFonts w:ascii="仿宋" w:eastAsia="仿宋"/>
                <w:sz w:val="24"/>
              </w:rPr>
            </w:pPr>
            <w:r>
              <w:rPr>
                <w:rFonts w:hint="eastAsia" w:ascii="仿宋" w:eastAsia="仿宋"/>
                <w:sz w:val="24"/>
              </w:rPr>
              <w:t>□男□女</w:t>
            </w:r>
          </w:p>
        </w:tc>
      </w:tr>
      <w:tr w14:paraId="1788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4364E023">
            <w:pPr>
              <w:adjustRightInd w:val="0"/>
              <w:snapToGrid w:val="0"/>
              <w:rPr>
                <w:rFonts w:ascii="仿宋" w:eastAsia="黑体"/>
                <w:sz w:val="24"/>
              </w:rPr>
            </w:pPr>
            <w:r>
              <w:rPr>
                <w:rFonts w:hint="eastAsia" w:ascii="黑体" w:hAnsi="黑体" w:eastAsia="黑体" w:cs="黑体"/>
                <w:sz w:val="24"/>
              </w:rPr>
              <w:t>工作单位</w:t>
            </w:r>
          </w:p>
        </w:tc>
        <w:tc>
          <w:tcPr>
            <w:tcW w:w="2480" w:type="dxa"/>
            <w:vAlign w:val="center"/>
          </w:tcPr>
          <w:p w14:paraId="3EB0F168">
            <w:pPr>
              <w:adjustRightInd w:val="0"/>
              <w:snapToGrid w:val="0"/>
              <w:rPr>
                <w:rFonts w:ascii="仿宋" w:eastAsia="仿宋"/>
                <w:sz w:val="24"/>
              </w:rPr>
            </w:pPr>
          </w:p>
        </w:tc>
        <w:tc>
          <w:tcPr>
            <w:tcW w:w="2480" w:type="dxa"/>
            <w:vAlign w:val="center"/>
          </w:tcPr>
          <w:p w14:paraId="1FA4FA16">
            <w:pPr>
              <w:adjustRightInd w:val="0"/>
              <w:snapToGrid w:val="0"/>
              <w:rPr>
                <w:rFonts w:ascii="仿宋" w:eastAsia="黑体"/>
                <w:sz w:val="24"/>
              </w:rPr>
            </w:pPr>
            <w:r>
              <w:rPr>
                <w:rFonts w:hint="eastAsia" w:ascii="黑体" w:hAnsi="黑体" w:eastAsia="黑体" w:cs="黑体"/>
                <w:sz w:val="24"/>
              </w:rPr>
              <w:t>所在科室</w:t>
            </w:r>
          </w:p>
        </w:tc>
        <w:tc>
          <w:tcPr>
            <w:tcW w:w="2481" w:type="dxa"/>
            <w:vAlign w:val="center"/>
          </w:tcPr>
          <w:p w14:paraId="5F4EEB9F">
            <w:pPr>
              <w:adjustRightInd w:val="0"/>
              <w:snapToGrid w:val="0"/>
              <w:rPr>
                <w:rFonts w:ascii="仿宋" w:eastAsia="仿宋"/>
                <w:sz w:val="24"/>
              </w:rPr>
            </w:pPr>
          </w:p>
        </w:tc>
      </w:tr>
      <w:tr w14:paraId="561C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51CF0EF1">
            <w:pPr>
              <w:adjustRightInd w:val="0"/>
              <w:snapToGrid w:val="0"/>
              <w:rPr>
                <w:rFonts w:ascii="仿宋" w:eastAsia="黑体"/>
                <w:sz w:val="24"/>
              </w:rPr>
            </w:pPr>
            <w:r>
              <w:rPr>
                <w:rFonts w:hint="eastAsia" w:ascii="黑体" w:hAnsi="黑体" w:eastAsia="黑体" w:cs="黑体"/>
                <w:sz w:val="24"/>
              </w:rPr>
              <w:t>职务/职称</w:t>
            </w:r>
          </w:p>
        </w:tc>
        <w:tc>
          <w:tcPr>
            <w:tcW w:w="2480" w:type="dxa"/>
            <w:vAlign w:val="center"/>
          </w:tcPr>
          <w:p w14:paraId="54388050">
            <w:pPr>
              <w:adjustRightInd w:val="0"/>
              <w:snapToGrid w:val="0"/>
              <w:rPr>
                <w:rFonts w:ascii="仿宋" w:eastAsia="仿宋"/>
                <w:sz w:val="24"/>
              </w:rPr>
            </w:pPr>
          </w:p>
        </w:tc>
        <w:tc>
          <w:tcPr>
            <w:tcW w:w="2480" w:type="dxa"/>
            <w:vAlign w:val="center"/>
          </w:tcPr>
          <w:p w14:paraId="79A192BA">
            <w:pPr>
              <w:adjustRightInd w:val="0"/>
              <w:snapToGrid w:val="0"/>
              <w:rPr>
                <w:rFonts w:ascii="仿宋" w:eastAsia="黑体"/>
                <w:sz w:val="24"/>
              </w:rPr>
            </w:pPr>
            <w:r>
              <w:rPr>
                <w:rFonts w:hint="eastAsia" w:ascii="黑体" w:hAnsi="黑体" w:eastAsia="黑体" w:cs="黑体"/>
                <w:sz w:val="24"/>
              </w:rPr>
              <w:t>联系电话</w:t>
            </w:r>
          </w:p>
        </w:tc>
        <w:tc>
          <w:tcPr>
            <w:tcW w:w="2481" w:type="dxa"/>
            <w:vAlign w:val="center"/>
          </w:tcPr>
          <w:p w14:paraId="2184264E">
            <w:pPr>
              <w:adjustRightInd w:val="0"/>
              <w:snapToGrid w:val="0"/>
              <w:rPr>
                <w:rFonts w:ascii="仿宋" w:eastAsia="仿宋"/>
                <w:sz w:val="24"/>
              </w:rPr>
            </w:pPr>
          </w:p>
        </w:tc>
      </w:tr>
      <w:tr w14:paraId="6E94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760E52D0">
            <w:pPr>
              <w:adjustRightInd w:val="0"/>
              <w:snapToGrid w:val="0"/>
              <w:rPr>
                <w:rFonts w:ascii="仿宋" w:eastAsia="仿宋"/>
                <w:sz w:val="24"/>
              </w:rPr>
            </w:pPr>
            <w:r>
              <w:rPr>
                <w:rFonts w:hint="eastAsia" w:ascii="黑体" w:hAnsi="黑体" w:eastAsia="黑体" w:cs="黑体"/>
                <w:sz w:val="24"/>
              </w:rPr>
              <w:t>专业背景</w:t>
            </w:r>
          </w:p>
        </w:tc>
        <w:tc>
          <w:tcPr>
            <w:tcW w:w="4961" w:type="dxa"/>
            <w:gridSpan w:val="2"/>
            <w:vAlign w:val="center"/>
          </w:tcPr>
          <w:p w14:paraId="40325F34">
            <w:pPr>
              <w:adjustRightInd w:val="0"/>
              <w:snapToGrid w:val="0"/>
              <w:rPr>
                <w:rFonts w:ascii="仿宋" w:eastAsia="仿宋"/>
                <w:sz w:val="24"/>
              </w:rPr>
            </w:pPr>
            <w:r>
              <w:rPr>
                <w:rFonts w:hint="eastAsia" w:ascii="仿宋" w:eastAsia="仿宋"/>
                <w:sz w:val="24"/>
              </w:rPr>
              <w:t>□运营管理□财务管理□医保管理</w:t>
            </w:r>
          </w:p>
          <w:p w14:paraId="615AC1F0">
            <w:pPr>
              <w:adjustRightInd w:val="0"/>
              <w:snapToGrid w:val="0"/>
              <w:rPr>
                <w:rFonts w:ascii="仿宋" w:eastAsia="仿宋"/>
                <w:sz w:val="24"/>
              </w:rPr>
            </w:pPr>
            <w:r>
              <w:rPr>
                <w:rFonts w:hint="eastAsia" w:ascii="仿宋" w:eastAsia="仿宋"/>
                <w:sz w:val="24"/>
              </w:rPr>
              <w:t>□信息管理□临床医学□其他：_______</w:t>
            </w:r>
          </w:p>
        </w:tc>
      </w:tr>
      <w:tr w14:paraId="52A9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2EE467B2">
            <w:pPr>
              <w:adjustRightInd w:val="0"/>
              <w:snapToGrid w:val="0"/>
              <w:rPr>
                <w:rFonts w:ascii="仿宋" w:eastAsia="仿宋"/>
                <w:sz w:val="24"/>
              </w:rPr>
            </w:pPr>
            <w:r>
              <w:rPr>
                <w:rFonts w:hint="eastAsia" w:ascii="楷体" w:eastAsia="楷体"/>
                <w:b/>
                <w:bCs/>
                <w:sz w:val="32"/>
              </w:rPr>
              <w:t>辩手三</w:t>
            </w:r>
          </w:p>
        </w:tc>
      </w:tr>
      <w:tr w14:paraId="2F52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510922A6">
            <w:pPr>
              <w:adjustRightInd w:val="0"/>
              <w:snapToGrid w:val="0"/>
              <w:rPr>
                <w:rFonts w:ascii="仿宋" w:eastAsia="黑体"/>
                <w:sz w:val="24"/>
              </w:rPr>
            </w:pPr>
            <w:r>
              <w:rPr>
                <w:rFonts w:hint="eastAsia" w:ascii="黑体" w:hAnsi="黑体" w:eastAsia="黑体" w:cs="黑体"/>
                <w:sz w:val="24"/>
              </w:rPr>
              <w:t>姓名</w:t>
            </w:r>
          </w:p>
        </w:tc>
        <w:tc>
          <w:tcPr>
            <w:tcW w:w="2480" w:type="dxa"/>
            <w:vAlign w:val="center"/>
          </w:tcPr>
          <w:p w14:paraId="3425D10C">
            <w:pPr>
              <w:adjustRightInd w:val="0"/>
              <w:snapToGrid w:val="0"/>
              <w:rPr>
                <w:rFonts w:ascii="仿宋" w:eastAsia="仿宋"/>
                <w:sz w:val="24"/>
              </w:rPr>
            </w:pPr>
          </w:p>
        </w:tc>
        <w:tc>
          <w:tcPr>
            <w:tcW w:w="2480" w:type="dxa"/>
            <w:vAlign w:val="center"/>
          </w:tcPr>
          <w:p w14:paraId="2FB6325D">
            <w:pPr>
              <w:adjustRightInd w:val="0"/>
              <w:snapToGrid w:val="0"/>
              <w:rPr>
                <w:rFonts w:ascii="仿宋" w:eastAsia="仿宋"/>
                <w:sz w:val="24"/>
              </w:rPr>
            </w:pPr>
            <w:r>
              <w:rPr>
                <w:rFonts w:hint="eastAsia" w:ascii="黑体" w:hAnsi="黑体" w:eastAsia="黑体" w:cs="黑体"/>
                <w:sz w:val="24"/>
              </w:rPr>
              <w:t>性别</w:t>
            </w:r>
          </w:p>
        </w:tc>
        <w:tc>
          <w:tcPr>
            <w:tcW w:w="2481" w:type="dxa"/>
            <w:vAlign w:val="center"/>
          </w:tcPr>
          <w:p w14:paraId="059EEC1D">
            <w:pPr>
              <w:adjustRightInd w:val="0"/>
              <w:snapToGrid w:val="0"/>
              <w:rPr>
                <w:rFonts w:ascii="仿宋" w:eastAsia="仿宋"/>
                <w:sz w:val="24"/>
              </w:rPr>
            </w:pPr>
            <w:r>
              <w:rPr>
                <w:rFonts w:hint="eastAsia" w:ascii="仿宋" w:eastAsia="仿宋"/>
                <w:sz w:val="24"/>
              </w:rPr>
              <w:t>□男□女</w:t>
            </w:r>
          </w:p>
        </w:tc>
      </w:tr>
      <w:tr w14:paraId="1EEA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1B278E03">
            <w:pPr>
              <w:adjustRightInd w:val="0"/>
              <w:snapToGrid w:val="0"/>
              <w:rPr>
                <w:rFonts w:ascii="仿宋" w:eastAsia="黑体"/>
                <w:sz w:val="24"/>
              </w:rPr>
            </w:pPr>
            <w:r>
              <w:rPr>
                <w:rFonts w:hint="eastAsia" w:ascii="黑体" w:hAnsi="黑体" w:eastAsia="黑体" w:cs="黑体"/>
                <w:sz w:val="24"/>
              </w:rPr>
              <w:t>工作单位</w:t>
            </w:r>
          </w:p>
        </w:tc>
        <w:tc>
          <w:tcPr>
            <w:tcW w:w="2480" w:type="dxa"/>
            <w:vAlign w:val="center"/>
          </w:tcPr>
          <w:p w14:paraId="34EFD072">
            <w:pPr>
              <w:adjustRightInd w:val="0"/>
              <w:snapToGrid w:val="0"/>
              <w:rPr>
                <w:rFonts w:ascii="仿宋" w:eastAsia="仿宋"/>
                <w:sz w:val="24"/>
              </w:rPr>
            </w:pPr>
          </w:p>
        </w:tc>
        <w:tc>
          <w:tcPr>
            <w:tcW w:w="2480" w:type="dxa"/>
            <w:vAlign w:val="center"/>
          </w:tcPr>
          <w:p w14:paraId="1C3C23A2">
            <w:pPr>
              <w:adjustRightInd w:val="0"/>
              <w:snapToGrid w:val="0"/>
              <w:rPr>
                <w:rFonts w:ascii="仿宋" w:eastAsia="黑体"/>
                <w:sz w:val="24"/>
              </w:rPr>
            </w:pPr>
            <w:r>
              <w:rPr>
                <w:rFonts w:hint="eastAsia" w:ascii="黑体" w:hAnsi="黑体" w:eastAsia="黑体" w:cs="黑体"/>
                <w:sz w:val="24"/>
              </w:rPr>
              <w:t>所在科室</w:t>
            </w:r>
          </w:p>
        </w:tc>
        <w:tc>
          <w:tcPr>
            <w:tcW w:w="2481" w:type="dxa"/>
            <w:vAlign w:val="center"/>
          </w:tcPr>
          <w:p w14:paraId="069246EC">
            <w:pPr>
              <w:adjustRightInd w:val="0"/>
              <w:snapToGrid w:val="0"/>
              <w:rPr>
                <w:rFonts w:ascii="仿宋" w:eastAsia="仿宋"/>
                <w:sz w:val="24"/>
              </w:rPr>
            </w:pPr>
          </w:p>
        </w:tc>
      </w:tr>
      <w:tr w14:paraId="78B3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2A9BF7B7">
            <w:pPr>
              <w:adjustRightInd w:val="0"/>
              <w:snapToGrid w:val="0"/>
              <w:rPr>
                <w:rFonts w:ascii="仿宋" w:eastAsia="黑体"/>
                <w:sz w:val="24"/>
              </w:rPr>
            </w:pPr>
            <w:r>
              <w:rPr>
                <w:rFonts w:hint="eastAsia" w:ascii="黑体" w:hAnsi="黑体" w:eastAsia="黑体" w:cs="黑体"/>
                <w:sz w:val="24"/>
              </w:rPr>
              <w:t>职务/职称</w:t>
            </w:r>
          </w:p>
        </w:tc>
        <w:tc>
          <w:tcPr>
            <w:tcW w:w="2480" w:type="dxa"/>
            <w:vAlign w:val="center"/>
          </w:tcPr>
          <w:p w14:paraId="5AA2E890">
            <w:pPr>
              <w:adjustRightInd w:val="0"/>
              <w:snapToGrid w:val="0"/>
              <w:rPr>
                <w:rFonts w:ascii="仿宋" w:eastAsia="仿宋"/>
                <w:sz w:val="24"/>
              </w:rPr>
            </w:pPr>
          </w:p>
        </w:tc>
        <w:tc>
          <w:tcPr>
            <w:tcW w:w="2480" w:type="dxa"/>
            <w:vAlign w:val="center"/>
          </w:tcPr>
          <w:p w14:paraId="79F10DEE">
            <w:pPr>
              <w:adjustRightInd w:val="0"/>
              <w:snapToGrid w:val="0"/>
              <w:rPr>
                <w:rFonts w:ascii="仿宋" w:eastAsia="黑体"/>
                <w:sz w:val="24"/>
              </w:rPr>
            </w:pPr>
            <w:r>
              <w:rPr>
                <w:rFonts w:hint="eastAsia" w:ascii="黑体" w:hAnsi="黑体" w:eastAsia="黑体" w:cs="黑体"/>
                <w:sz w:val="24"/>
              </w:rPr>
              <w:t>联系电话</w:t>
            </w:r>
          </w:p>
        </w:tc>
        <w:tc>
          <w:tcPr>
            <w:tcW w:w="2481" w:type="dxa"/>
            <w:vAlign w:val="center"/>
          </w:tcPr>
          <w:p w14:paraId="57D3EF8A">
            <w:pPr>
              <w:adjustRightInd w:val="0"/>
              <w:snapToGrid w:val="0"/>
              <w:rPr>
                <w:rFonts w:ascii="仿宋" w:eastAsia="仿宋"/>
                <w:sz w:val="24"/>
              </w:rPr>
            </w:pPr>
          </w:p>
        </w:tc>
      </w:tr>
      <w:tr w14:paraId="5398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36F8AED1">
            <w:pPr>
              <w:adjustRightInd w:val="0"/>
              <w:snapToGrid w:val="0"/>
              <w:rPr>
                <w:rFonts w:ascii="仿宋" w:eastAsia="仿宋"/>
                <w:sz w:val="24"/>
              </w:rPr>
            </w:pPr>
            <w:r>
              <w:rPr>
                <w:rFonts w:hint="eastAsia" w:ascii="黑体" w:hAnsi="黑体" w:eastAsia="黑体" w:cs="黑体"/>
                <w:sz w:val="24"/>
              </w:rPr>
              <w:t>专业背景</w:t>
            </w:r>
          </w:p>
        </w:tc>
        <w:tc>
          <w:tcPr>
            <w:tcW w:w="4961" w:type="dxa"/>
            <w:gridSpan w:val="2"/>
            <w:vAlign w:val="center"/>
          </w:tcPr>
          <w:p w14:paraId="6EBBCD9F">
            <w:pPr>
              <w:adjustRightInd w:val="0"/>
              <w:snapToGrid w:val="0"/>
              <w:rPr>
                <w:rFonts w:ascii="仿宋" w:eastAsia="仿宋"/>
                <w:sz w:val="24"/>
              </w:rPr>
            </w:pPr>
            <w:r>
              <w:rPr>
                <w:rFonts w:hint="eastAsia" w:ascii="仿宋" w:eastAsia="仿宋"/>
                <w:sz w:val="24"/>
              </w:rPr>
              <w:t>□运营管理□财务管理□医保管理</w:t>
            </w:r>
          </w:p>
          <w:p w14:paraId="3D50B695">
            <w:pPr>
              <w:adjustRightInd w:val="0"/>
              <w:snapToGrid w:val="0"/>
              <w:rPr>
                <w:rFonts w:ascii="仿宋" w:eastAsia="仿宋"/>
                <w:sz w:val="24"/>
              </w:rPr>
            </w:pPr>
            <w:r>
              <w:rPr>
                <w:rFonts w:hint="eastAsia" w:ascii="仿宋" w:eastAsia="仿宋"/>
                <w:sz w:val="24"/>
              </w:rPr>
              <w:t>□信息管理□临床医学□其他：_______</w:t>
            </w:r>
          </w:p>
        </w:tc>
      </w:tr>
      <w:tr w14:paraId="1574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454E87A0">
            <w:pPr>
              <w:adjustRightInd w:val="0"/>
              <w:snapToGrid w:val="0"/>
              <w:rPr>
                <w:rFonts w:ascii="仿宋" w:eastAsia="仿宋"/>
                <w:sz w:val="24"/>
              </w:rPr>
            </w:pPr>
            <w:r>
              <w:rPr>
                <w:rFonts w:hint="eastAsia" w:ascii="楷体" w:eastAsia="楷体"/>
                <w:b/>
                <w:bCs/>
                <w:sz w:val="32"/>
              </w:rPr>
              <w:t>辩手四</w:t>
            </w:r>
          </w:p>
        </w:tc>
      </w:tr>
      <w:tr w14:paraId="75B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60912162">
            <w:pPr>
              <w:adjustRightInd w:val="0"/>
              <w:snapToGrid w:val="0"/>
              <w:rPr>
                <w:rFonts w:ascii="仿宋" w:eastAsia="黑体"/>
                <w:sz w:val="24"/>
              </w:rPr>
            </w:pPr>
            <w:r>
              <w:rPr>
                <w:rFonts w:hint="eastAsia" w:ascii="黑体" w:hAnsi="黑体" w:eastAsia="黑体" w:cs="黑体"/>
                <w:sz w:val="24"/>
              </w:rPr>
              <w:t>姓名</w:t>
            </w:r>
          </w:p>
        </w:tc>
        <w:tc>
          <w:tcPr>
            <w:tcW w:w="2480" w:type="dxa"/>
            <w:vAlign w:val="center"/>
          </w:tcPr>
          <w:p w14:paraId="40357F4D">
            <w:pPr>
              <w:adjustRightInd w:val="0"/>
              <w:snapToGrid w:val="0"/>
              <w:rPr>
                <w:rFonts w:ascii="仿宋" w:eastAsia="仿宋"/>
                <w:sz w:val="24"/>
              </w:rPr>
            </w:pPr>
          </w:p>
        </w:tc>
        <w:tc>
          <w:tcPr>
            <w:tcW w:w="2480" w:type="dxa"/>
            <w:vAlign w:val="center"/>
          </w:tcPr>
          <w:p w14:paraId="7958651D">
            <w:pPr>
              <w:adjustRightInd w:val="0"/>
              <w:snapToGrid w:val="0"/>
              <w:rPr>
                <w:rFonts w:ascii="仿宋" w:eastAsia="仿宋"/>
                <w:sz w:val="24"/>
              </w:rPr>
            </w:pPr>
            <w:r>
              <w:rPr>
                <w:rFonts w:hint="eastAsia" w:ascii="黑体" w:hAnsi="黑体" w:eastAsia="黑体" w:cs="黑体"/>
                <w:sz w:val="24"/>
              </w:rPr>
              <w:t>性别</w:t>
            </w:r>
          </w:p>
        </w:tc>
        <w:tc>
          <w:tcPr>
            <w:tcW w:w="2481" w:type="dxa"/>
            <w:vAlign w:val="center"/>
          </w:tcPr>
          <w:p w14:paraId="3FA642B1">
            <w:pPr>
              <w:adjustRightInd w:val="0"/>
              <w:snapToGrid w:val="0"/>
              <w:rPr>
                <w:rFonts w:ascii="仿宋" w:eastAsia="仿宋"/>
                <w:sz w:val="24"/>
              </w:rPr>
            </w:pPr>
            <w:r>
              <w:rPr>
                <w:rFonts w:hint="eastAsia" w:ascii="仿宋" w:eastAsia="仿宋"/>
                <w:sz w:val="24"/>
              </w:rPr>
              <w:t>□男□女</w:t>
            </w:r>
          </w:p>
        </w:tc>
      </w:tr>
      <w:tr w14:paraId="29F5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7BAE9E05">
            <w:pPr>
              <w:adjustRightInd w:val="0"/>
              <w:snapToGrid w:val="0"/>
              <w:rPr>
                <w:rFonts w:ascii="仿宋" w:eastAsia="黑体"/>
                <w:sz w:val="24"/>
              </w:rPr>
            </w:pPr>
            <w:r>
              <w:rPr>
                <w:rFonts w:hint="eastAsia" w:ascii="黑体" w:hAnsi="黑体" w:eastAsia="黑体" w:cs="黑体"/>
                <w:sz w:val="24"/>
              </w:rPr>
              <w:t>工作单位</w:t>
            </w:r>
          </w:p>
        </w:tc>
        <w:tc>
          <w:tcPr>
            <w:tcW w:w="2480" w:type="dxa"/>
            <w:vAlign w:val="center"/>
          </w:tcPr>
          <w:p w14:paraId="4C6ED116">
            <w:pPr>
              <w:adjustRightInd w:val="0"/>
              <w:snapToGrid w:val="0"/>
              <w:rPr>
                <w:rFonts w:ascii="仿宋" w:eastAsia="仿宋"/>
                <w:sz w:val="24"/>
              </w:rPr>
            </w:pPr>
          </w:p>
        </w:tc>
        <w:tc>
          <w:tcPr>
            <w:tcW w:w="2480" w:type="dxa"/>
            <w:vAlign w:val="center"/>
          </w:tcPr>
          <w:p w14:paraId="7596F912">
            <w:pPr>
              <w:adjustRightInd w:val="0"/>
              <w:snapToGrid w:val="0"/>
              <w:rPr>
                <w:rFonts w:ascii="仿宋" w:eastAsia="黑体"/>
                <w:sz w:val="24"/>
              </w:rPr>
            </w:pPr>
            <w:r>
              <w:rPr>
                <w:rFonts w:hint="eastAsia" w:ascii="黑体" w:hAnsi="黑体" w:eastAsia="黑体" w:cs="黑体"/>
                <w:sz w:val="24"/>
              </w:rPr>
              <w:t>所在科室</w:t>
            </w:r>
          </w:p>
        </w:tc>
        <w:tc>
          <w:tcPr>
            <w:tcW w:w="2481" w:type="dxa"/>
            <w:vAlign w:val="center"/>
          </w:tcPr>
          <w:p w14:paraId="2EE982C7">
            <w:pPr>
              <w:adjustRightInd w:val="0"/>
              <w:snapToGrid w:val="0"/>
              <w:rPr>
                <w:rFonts w:ascii="仿宋" w:eastAsia="仿宋"/>
                <w:sz w:val="24"/>
              </w:rPr>
            </w:pPr>
          </w:p>
        </w:tc>
      </w:tr>
      <w:tr w14:paraId="6C4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303829A1">
            <w:pPr>
              <w:adjustRightInd w:val="0"/>
              <w:snapToGrid w:val="0"/>
              <w:rPr>
                <w:rFonts w:ascii="仿宋" w:eastAsia="黑体"/>
                <w:sz w:val="24"/>
              </w:rPr>
            </w:pPr>
            <w:r>
              <w:rPr>
                <w:rFonts w:hint="eastAsia" w:ascii="黑体" w:hAnsi="黑体" w:eastAsia="黑体" w:cs="黑体"/>
                <w:sz w:val="24"/>
              </w:rPr>
              <w:t>职务/职称</w:t>
            </w:r>
          </w:p>
        </w:tc>
        <w:tc>
          <w:tcPr>
            <w:tcW w:w="2480" w:type="dxa"/>
            <w:vAlign w:val="center"/>
          </w:tcPr>
          <w:p w14:paraId="57FEC9E3">
            <w:pPr>
              <w:adjustRightInd w:val="0"/>
              <w:snapToGrid w:val="0"/>
              <w:rPr>
                <w:rFonts w:ascii="仿宋" w:eastAsia="仿宋"/>
                <w:sz w:val="24"/>
              </w:rPr>
            </w:pPr>
          </w:p>
        </w:tc>
        <w:tc>
          <w:tcPr>
            <w:tcW w:w="2480" w:type="dxa"/>
            <w:vAlign w:val="center"/>
          </w:tcPr>
          <w:p w14:paraId="2D3B77BD">
            <w:pPr>
              <w:adjustRightInd w:val="0"/>
              <w:snapToGrid w:val="0"/>
              <w:rPr>
                <w:rFonts w:ascii="仿宋" w:eastAsia="黑体"/>
                <w:sz w:val="24"/>
              </w:rPr>
            </w:pPr>
            <w:r>
              <w:rPr>
                <w:rFonts w:hint="eastAsia" w:ascii="黑体" w:hAnsi="黑体" w:eastAsia="黑体" w:cs="黑体"/>
                <w:sz w:val="24"/>
              </w:rPr>
              <w:t>联系电话</w:t>
            </w:r>
          </w:p>
        </w:tc>
        <w:tc>
          <w:tcPr>
            <w:tcW w:w="2481" w:type="dxa"/>
            <w:vAlign w:val="center"/>
          </w:tcPr>
          <w:p w14:paraId="0BDD5A2A">
            <w:pPr>
              <w:adjustRightInd w:val="0"/>
              <w:snapToGrid w:val="0"/>
              <w:rPr>
                <w:rFonts w:ascii="仿宋" w:eastAsia="仿宋"/>
                <w:sz w:val="24"/>
              </w:rPr>
            </w:pPr>
          </w:p>
        </w:tc>
      </w:tr>
      <w:tr w14:paraId="7973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58EA261A">
            <w:pPr>
              <w:adjustRightInd w:val="0"/>
              <w:snapToGrid w:val="0"/>
              <w:rPr>
                <w:rFonts w:ascii="仿宋" w:eastAsia="仿宋"/>
                <w:sz w:val="24"/>
              </w:rPr>
            </w:pPr>
            <w:r>
              <w:rPr>
                <w:rFonts w:hint="eastAsia" w:ascii="黑体" w:hAnsi="黑体" w:eastAsia="黑体" w:cs="黑体"/>
                <w:sz w:val="24"/>
              </w:rPr>
              <w:t>专业背景</w:t>
            </w:r>
          </w:p>
        </w:tc>
        <w:tc>
          <w:tcPr>
            <w:tcW w:w="4961" w:type="dxa"/>
            <w:gridSpan w:val="2"/>
            <w:vAlign w:val="center"/>
          </w:tcPr>
          <w:p w14:paraId="3A72CF93">
            <w:pPr>
              <w:adjustRightInd w:val="0"/>
              <w:snapToGrid w:val="0"/>
              <w:rPr>
                <w:rFonts w:ascii="仿宋" w:eastAsia="仿宋"/>
                <w:sz w:val="24"/>
              </w:rPr>
            </w:pPr>
            <w:r>
              <w:rPr>
                <w:rFonts w:hint="eastAsia" w:ascii="仿宋" w:eastAsia="仿宋"/>
                <w:sz w:val="24"/>
              </w:rPr>
              <w:t>□运营管理□财务管理□医保管理</w:t>
            </w:r>
          </w:p>
          <w:p w14:paraId="2B2A4D1C">
            <w:pPr>
              <w:adjustRightInd w:val="0"/>
              <w:snapToGrid w:val="0"/>
              <w:rPr>
                <w:rFonts w:ascii="仿宋" w:eastAsia="仿宋"/>
                <w:sz w:val="24"/>
              </w:rPr>
            </w:pPr>
            <w:r>
              <w:rPr>
                <w:rFonts w:hint="eastAsia" w:ascii="仿宋" w:eastAsia="仿宋"/>
                <w:sz w:val="24"/>
              </w:rPr>
              <w:t>□信息管理□临床医学□其他：_______</w:t>
            </w:r>
          </w:p>
        </w:tc>
      </w:tr>
      <w:tr w14:paraId="358B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468A77C0">
            <w:pPr>
              <w:adjustRightInd w:val="0"/>
              <w:snapToGrid w:val="0"/>
              <w:rPr>
                <w:rFonts w:ascii="仿宋" w:eastAsia="仿宋"/>
                <w:sz w:val="24"/>
              </w:rPr>
            </w:pPr>
            <w:r>
              <w:rPr>
                <w:rFonts w:hint="eastAsia" w:ascii="楷体" w:eastAsia="楷体"/>
                <w:b/>
                <w:bCs/>
                <w:sz w:val="32"/>
              </w:rPr>
              <w:t>替补辩手（1名，可选，如无无需填写）</w:t>
            </w:r>
          </w:p>
        </w:tc>
      </w:tr>
      <w:tr w14:paraId="44AE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57387A97">
            <w:pPr>
              <w:adjustRightInd w:val="0"/>
              <w:snapToGrid w:val="0"/>
              <w:rPr>
                <w:rFonts w:ascii="仿宋" w:eastAsia="黑体"/>
                <w:sz w:val="24"/>
              </w:rPr>
            </w:pPr>
            <w:r>
              <w:rPr>
                <w:rFonts w:hint="eastAsia" w:ascii="黑体" w:hAnsi="黑体" w:eastAsia="黑体" w:cs="黑体"/>
                <w:sz w:val="24"/>
              </w:rPr>
              <w:t>姓名</w:t>
            </w:r>
          </w:p>
        </w:tc>
        <w:tc>
          <w:tcPr>
            <w:tcW w:w="2480" w:type="dxa"/>
            <w:vAlign w:val="center"/>
          </w:tcPr>
          <w:p w14:paraId="3A3CB7B0">
            <w:pPr>
              <w:adjustRightInd w:val="0"/>
              <w:snapToGrid w:val="0"/>
              <w:rPr>
                <w:rFonts w:ascii="仿宋" w:eastAsia="仿宋"/>
                <w:sz w:val="24"/>
              </w:rPr>
            </w:pPr>
          </w:p>
        </w:tc>
        <w:tc>
          <w:tcPr>
            <w:tcW w:w="2480" w:type="dxa"/>
            <w:vAlign w:val="center"/>
          </w:tcPr>
          <w:p w14:paraId="7DEA6717">
            <w:pPr>
              <w:adjustRightInd w:val="0"/>
              <w:snapToGrid w:val="0"/>
              <w:rPr>
                <w:rFonts w:ascii="仿宋" w:eastAsia="仿宋"/>
                <w:sz w:val="24"/>
              </w:rPr>
            </w:pPr>
            <w:r>
              <w:rPr>
                <w:rFonts w:hint="eastAsia" w:ascii="黑体" w:hAnsi="黑体" w:eastAsia="黑体" w:cs="黑体"/>
                <w:sz w:val="24"/>
              </w:rPr>
              <w:t>性别</w:t>
            </w:r>
          </w:p>
        </w:tc>
        <w:tc>
          <w:tcPr>
            <w:tcW w:w="2481" w:type="dxa"/>
            <w:vAlign w:val="center"/>
          </w:tcPr>
          <w:p w14:paraId="3E270310">
            <w:pPr>
              <w:adjustRightInd w:val="0"/>
              <w:snapToGrid w:val="0"/>
              <w:rPr>
                <w:rFonts w:ascii="仿宋" w:eastAsia="仿宋"/>
                <w:sz w:val="24"/>
              </w:rPr>
            </w:pPr>
            <w:r>
              <w:rPr>
                <w:rFonts w:hint="eastAsia" w:ascii="仿宋" w:eastAsia="仿宋"/>
                <w:sz w:val="24"/>
              </w:rPr>
              <w:t>□男□女</w:t>
            </w:r>
          </w:p>
        </w:tc>
      </w:tr>
      <w:tr w14:paraId="2EDE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73FEEDC4">
            <w:pPr>
              <w:adjustRightInd w:val="0"/>
              <w:snapToGrid w:val="0"/>
              <w:rPr>
                <w:rFonts w:ascii="仿宋" w:eastAsia="黑体"/>
                <w:sz w:val="24"/>
              </w:rPr>
            </w:pPr>
            <w:r>
              <w:rPr>
                <w:rFonts w:hint="eastAsia" w:ascii="黑体" w:hAnsi="黑体" w:eastAsia="黑体" w:cs="黑体"/>
                <w:sz w:val="24"/>
              </w:rPr>
              <w:t>工作单位</w:t>
            </w:r>
          </w:p>
        </w:tc>
        <w:tc>
          <w:tcPr>
            <w:tcW w:w="2480" w:type="dxa"/>
            <w:vAlign w:val="center"/>
          </w:tcPr>
          <w:p w14:paraId="6854383E">
            <w:pPr>
              <w:adjustRightInd w:val="0"/>
              <w:snapToGrid w:val="0"/>
              <w:rPr>
                <w:rFonts w:ascii="仿宋" w:eastAsia="仿宋"/>
                <w:sz w:val="24"/>
              </w:rPr>
            </w:pPr>
          </w:p>
        </w:tc>
        <w:tc>
          <w:tcPr>
            <w:tcW w:w="2480" w:type="dxa"/>
            <w:vAlign w:val="center"/>
          </w:tcPr>
          <w:p w14:paraId="35C921F7">
            <w:pPr>
              <w:adjustRightInd w:val="0"/>
              <w:snapToGrid w:val="0"/>
              <w:rPr>
                <w:rFonts w:ascii="仿宋" w:eastAsia="黑体"/>
                <w:sz w:val="24"/>
              </w:rPr>
            </w:pPr>
            <w:r>
              <w:rPr>
                <w:rFonts w:hint="eastAsia" w:ascii="黑体" w:hAnsi="黑体" w:eastAsia="黑体" w:cs="黑体"/>
                <w:sz w:val="24"/>
              </w:rPr>
              <w:t>所在科室</w:t>
            </w:r>
          </w:p>
        </w:tc>
        <w:tc>
          <w:tcPr>
            <w:tcW w:w="2481" w:type="dxa"/>
            <w:vAlign w:val="center"/>
          </w:tcPr>
          <w:p w14:paraId="45C9FA64">
            <w:pPr>
              <w:adjustRightInd w:val="0"/>
              <w:snapToGrid w:val="0"/>
              <w:rPr>
                <w:rFonts w:ascii="仿宋" w:eastAsia="仿宋"/>
                <w:sz w:val="24"/>
              </w:rPr>
            </w:pPr>
          </w:p>
        </w:tc>
      </w:tr>
      <w:tr w14:paraId="76B5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0" w:type="dxa"/>
            <w:vAlign w:val="center"/>
          </w:tcPr>
          <w:p w14:paraId="2FF2BE3C">
            <w:pPr>
              <w:adjustRightInd w:val="0"/>
              <w:snapToGrid w:val="0"/>
              <w:rPr>
                <w:rFonts w:ascii="仿宋" w:eastAsia="黑体"/>
                <w:sz w:val="24"/>
              </w:rPr>
            </w:pPr>
            <w:r>
              <w:rPr>
                <w:rFonts w:hint="eastAsia" w:ascii="黑体" w:hAnsi="黑体" w:eastAsia="黑体" w:cs="黑体"/>
                <w:sz w:val="24"/>
              </w:rPr>
              <w:t>职务/职称</w:t>
            </w:r>
          </w:p>
        </w:tc>
        <w:tc>
          <w:tcPr>
            <w:tcW w:w="2480" w:type="dxa"/>
            <w:vAlign w:val="center"/>
          </w:tcPr>
          <w:p w14:paraId="65D062BF">
            <w:pPr>
              <w:adjustRightInd w:val="0"/>
              <w:snapToGrid w:val="0"/>
              <w:rPr>
                <w:rFonts w:ascii="仿宋" w:eastAsia="仿宋"/>
                <w:sz w:val="24"/>
              </w:rPr>
            </w:pPr>
          </w:p>
        </w:tc>
        <w:tc>
          <w:tcPr>
            <w:tcW w:w="2480" w:type="dxa"/>
            <w:vAlign w:val="center"/>
          </w:tcPr>
          <w:p w14:paraId="73BD2E93">
            <w:pPr>
              <w:adjustRightInd w:val="0"/>
              <w:snapToGrid w:val="0"/>
              <w:rPr>
                <w:rFonts w:ascii="仿宋" w:eastAsia="黑体"/>
                <w:sz w:val="24"/>
              </w:rPr>
            </w:pPr>
            <w:r>
              <w:rPr>
                <w:rFonts w:hint="eastAsia" w:ascii="黑体" w:hAnsi="黑体" w:eastAsia="黑体" w:cs="黑体"/>
                <w:sz w:val="24"/>
              </w:rPr>
              <w:t>联系电话</w:t>
            </w:r>
          </w:p>
        </w:tc>
        <w:tc>
          <w:tcPr>
            <w:tcW w:w="2481" w:type="dxa"/>
            <w:vAlign w:val="center"/>
          </w:tcPr>
          <w:p w14:paraId="064BEE18">
            <w:pPr>
              <w:adjustRightInd w:val="0"/>
              <w:snapToGrid w:val="0"/>
              <w:rPr>
                <w:rFonts w:ascii="仿宋" w:eastAsia="仿宋"/>
                <w:sz w:val="24"/>
              </w:rPr>
            </w:pPr>
          </w:p>
        </w:tc>
      </w:tr>
      <w:tr w14:paraId="29A1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0" w:type="dxa"/>
            <w:gridSpan w:val="2"/>
            <w:vAlign w:val="center"/>
          </w:tcPr>
          <w:p w14:paraId="6D42D266">
            <w:pPr>
              <w:adjustRightInd w:val="0"/>
              <w:snapToGrid w:val="0"/>
              <w:rPr>
                <w:rFonts w:ascii="仿宋" w:eastAsia="仿宋"/>
                <w:sz w:val="24"/>
              </w:rPr>
            </w:pPr>
            <w:r>
              <w:rPr>
                <w:rFonts w:hint="eastAsia" w:ascii="黑体" w:hAnsi="黑体" w:eastAsia="黑体" w:cs="黑体"/>
                <w:sz w:val="24"/>
              </w:rPr>
              <w:t>专业背景</w:t>
            </w:r>
          </w:p>
        </w:tc>
        <w:tc>
          <w:tcPr>
            <w:tcW w:w="4961" w:type="dxa"/>
            <w:gridSpan w:val="2"/>
            <w:vAlign w:val="center"/>
          </w:tcPr>
          <w:p w14:paraId="03A190C2">
            <w:pPr>
              <w:adjustRightInd w:val="0"/>
              <w:snapToGrid w:val="0"/>
              <w:rPr>
                <w:rFonts w:ascii="仿宋" w:eastAsia="仿宋"/>
                <w:sz w:val="24"/>
              </w:rPr>
            </w:pPr>
            <w:r>
              <w:rPr>
                <w:rFonts w:hint="eastAsia" w:ascii="仿宋" w:eastAsia="仿宋"/>
                <w:sz w:val="24"/>
              </w:rPr>
              <w:t>□运营管理□财务管理□医保管理</w:t>
            </w:r>
          </w:p>
          <w:p w14:paraId="0B6F9FA1">
            <w:pPr>
              <w:adjustRightInd w:val="0"/>
              <w:snapToGrid w:val="0"/>
              <w:rPr>
                <w:rFonts w:ascii="仿宋" w:eastAsia="仿宋"/>
                <w:sz w:val="24"/>
              </w:rPr>
            </w:pPr>
            <w:r>
              <w:rPr>
                <w:rFonts w:hint="eastAsia" w:ascii="仿宋" w:eastAsia="仿宋"/>
                <w:sz w:val="24"/>
              </w:rPr>
              <w:t>□信息管理□临床医学□其他：_______</w:t>
            </w:r>
          </w:p>
        </w:tc>
      </w:tr>
      <w:tr w14:paraId="661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1980BE5D">
            <w:pPr>
              <w:adjustRightInd w:val="0"/>
              <w:snapToGrid w:val="0"/>
              <w:spacing w:before="200" w:after="100"/>
              <w:jc w:val="left"/>
              <w:outlineLvl w:val="0"/>
              <w:rPr>
                <w:rFonts w:ascii="仿宋" w:eastAsia="仿宋"/>
                <w:sz w:val="24"/>
              </w:rPr>
            </w:pPr>
            <w:r>
              <w:rPr>
                <w:rFonts w:hint="eastAsia" w:ascii="黑体" w:eastAsia="黑体"/>
                <w:sz w:val="32"/>
              </w:rPr>
              <w:t>第三部分：参赛承诺与声明</w:t>
            </w:r>
          </w:p>
        </w:tc>
      </w:tr>
      <w:tr w14:paraId="1768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1" w:type="dxa"/>
            <w:gridSpan w:val="4"/>
            <w:vAlign w:val="center"/>
          </w:tcPr>
          <w:p w14:paraId="56096F25">
            <w:pPr>
              <w:adjustRightInd w:val="0"/>
              <w:snapToGrid w:val="0"/>
              <w:spacing w:line="590" w:lineRule="exact"/>
              <w:rPr>
                <w:rFonts w:ascii="黑体" w:hAnsi="黑体" w:eastAsia="黑体" w:cs="黑体"/>
                <w:b/>
                <w:bCs/>
                <w:sz w:val="32"/>
              </w:rPr>
            </w:pPr>
            <w:r>
              <w:rPr>
                <w:rFonts w:hint="eastAsia" w:ascii="黑体" w:hAnsi="黑体" w:eastAsia="黑体" w:cs="黑体"/>
                <w:b/>
                <w:bCs/>
                <w:sz w:val="32"/>
              </w:rPr>
              <w:t>一、参赛承诺</w:t>
            </w:r>
          </w:p>
          <w:p w14:paraId="2AFB225F">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团队郑重承诺：</w:t>
            </w:r>
          </w:p>
          <w:p w14:paraId="68B1E8F4">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1.遵守比赛规则和纪律，服从组委会安排；</w:t>
            </w:r>
          </w:p>
          <w:p w14:paraId="5B88F5FB">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2.尊重对手、尊重评委、尊重观众；</w:t>
            </w:r>
          </w:p>
          <w:p w14:paraId="0A428881">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3.保证所提供信息的真实性和准确性；</w:t>
            </w:r>
          </w:p>
          <w:p w14:paraId="7D32D799">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4.按时参加比赛及相关活动；</w:t>
            </w:r>
          </w:p>
          <w:p w14:paraId="54B1CCEB">
            <w:pPr>
              <w:adjustRightInd w:val="0"/>
              <w:snapToGrid w:val="0"/>
              <w:spacing w:line="59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5.维护比赛公平公正，不进行任何形式的舞弊行为。</w:t>
            </w:r>
          </w:p>
          <w:p w14:paraId="493EA18B">
            <w:pPr>
              <w:adjustRightInd w:val="0"/>
              <w:snapToGrid w:val="0"/>
              <w:spacing w:line="590" w:lineRule="exact"/>
              <w:rPr>
                <w:rFonts w:ascii="黑体" w:hAnsi="黑体" w:eastAsia="黑体" w:cs="黑体"/>
                <w:b/>
                <w:bCs/>
                <w:sz w:val="32"/>
              </w:rPr>
            </w:pPr>
            <w:r>
              <w:rPr>
                <w:rFonts w:hint="eastAsia" w:ascii="黑体" w:hAnsi="黑体" w:eastAsia="黑体" w:cs="黑体"/>
                <w:b/>
                <w:bCs/>
                <w:sz w:val="32"/>
              </w:rPr>
              <w:t>二、免责声明</w:t>
            </w:r>
          </w:p>
          <w:p w14:paraId="6BC169B5">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团队成员确认：</w:t>
            </w:r>
          </w:p>
          <w:p w14:paraId="1DA2B3DF">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1.身体健康状况良好，能够胜任辩论赛活动；</w:t>
            </w:r>
          </w:p>
          <w:p w14:paraId="4751D52F">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2.自愿参加本次活动，并承担相应风险；</w:t>
            </w:r>
          </w:p>
          <w:p w14:paraId="749765FF">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3.同意组委会在活动宣传中使用本人肖像和相关信息。</w:t>
            </w:r>
          </w:p>
          <w:p w14:paraId="22590638">
            <w:pPr>
              <w:adjustRightInd w:val="0"/>
              <w:snapToGrid w:val="0"/>
              <w:spacing w:line="590" w:lineRule="exact"/>
              <w:rPr>
                <w:rFonts w:ascii="黑体" w:hAnsi="黑体" w:eastAsia="黑体" w:cs="黑体"/>
                <w:b/>
                <w:bCs/>
                <w:sz w:val="32"/>
              </w:rPr>
            </w:pPr>
            <w:r>
              <w:rPr>
                <w:rFonts w:hint="eastAsia" w:ascii="黑体" w:hAnsi="黑体" w:eastAsia="黑体" w:cs="黑体"/>
                <w:b/>
                <w:bCs/>
                <w:sz w:val="32"/>
              </w:rPr>
              <w:t>三、签字确认</w:t>
            </w:r>
          </w:p>
          <w:p w14:paraId="314663D2">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领队签字：</w:t>
            </w:r>
          </w:p>
          <w:p w14:paraId="6F5C360E">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日期：年月日</w:t>
            </w:r>
          </w:p>
          <w:p w14:paraId="5BC37488">
            <w:pPr>
              <w:adjustRightInd w:val="0"/>
              <w:snapToGrid w:val="0"/>
              <w:spacing w:line="590" w:lineRule="exact"/>
              <w:rPr>
                <w:rFonts w:ascii="仿宋_GB2312" w:hAnsi="仿宋_GB2312" w:eastAsia="仿宋_GB2312" w:cs="仿宋_GB2312"/>
                <w:sz w:val="32"/>
                <w:szCs w:val="32"/>
              </w:rPr>
            </w:pPr>
          </w:p>
          <w:p w14:paraId="2DEFB33E">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代表单位盖章：</w:t>
            </w:r>
          </w:p>
          <w:p w14:paraId="4055E697">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日期：年月日</w:t>
            </w:r>
          </w:p>
        </w:tc>
      </w:tr>
    </w:tbl>
    <w:p w14:paraId="05E88A71">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填表说明：</w:t>
      </w:r>
    </w:p>
    <w:p w14:paraId="01EEE5FD">
      <w:pPr>
        <w:adjustRightInd w:val="0"/>
        <w:snapToGrid w:val="0"/>
        <w:spacing w:line="59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一、必填项目：</w:t>
      </w:r>
      <w:r>
        <w:rPr>
          <w:rFonts w:hint="eastAsia" w:ascii="仿宋_GB2312" w:hAnsi="仿宋_GB2312" w:eastAsia="仿宋_GB2312" w:cs="仿宋_GB2312"/>
          <w:sz w:val="32"/>
          <w:szCs w:val="32"/>
        </w:rPr>
        <w:t>队伍名称、代表单位、4名正式辩手信息为必填项，其他为选填项。</w:t>
      </w:r>
    </w:p>
    <w:p w14:paraId="519D1E3B">
      <w:pPr>
        <w:adjustRightInd w:val="0"/>
        <w:snapToGrid w:val="0"/>
        <w:spacing w:line="59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二、提交方式：</w:t>
      </w:r>
      <w:r>
        <w:rPr>
          <w:rFonts w:hint="eastAsia" w:ascii="仿宋_GB2312" w:hAnsi="仿宋_GB2312" w:eastAsia="仿宋_GB2312" w:cs="仿宋_GB2312"/>
          <w:sz w:val="32"/>
          <w:szCs w:val="32"/>
        </w:rPr>
        <w:t>请将填写完整的报名表扫描后发送至福建省医院协会运营管理分会邮箱：xhyyyyglc@163.com，并附上团队成员照片。同时邮寄纸质版至：福州市鼓楼区新权路29号福建医科大学附属协和医院17A附属楼407室</w:t>
      </w:r>
    </w:p>
    <w:p w14:paraId="1EC2CA93">
      <w:pPr>
        <w:adjustRightInd w:val="0"/>
        <w:snapToGrid w:val="0"/>
        <w:spacing w:line="59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三、截止时间：</w:t>
      </w:r>
      <w:r>
        <w:rPr>
          <w:rFonts w:hint="eastAsia" w:ascii="仿宋_GB2312" w:hAnsi="仿宋_GB2312" w:eastAsia="仿宋_GB2312" w:cs="仿宋_GB2312"/>
          <w:sz w:val="32"/>
          <w:szCs w:val="32"/>
        </w:rPr>
        <w:t>报名截止日期为2026年3月3日（星期二）。</w:t>
      </w:r>
    </w:p>
    <w:p w14:paraId="4E1B7FF2">
      <w:pPr>
        <w:adjustRightInd w:val="0"/>
        <w:snapToGrid w:val="0"/>
        <w:spacing w:line="59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四、咨询电话：</w:t>
      </w:r>
      <w:r>
        <w:rPr>
          <w:rFonts w:hint="eastAsia" w:ascii="仿宋_GB2312" w:hAnsi="仿宋_GB2312" w:eastAsia="仿宋_GB2312" w:cs="仿宋_GB2312"/>
          <w:sz w:val="32"/>
          <w:szCs w:val="32"/>
        </w:rPr>
        <w:t>如有疑问，请联系福建省医院协会运营管理分会陈萍萍（15980232573）、黄晨璐（13675045281）。</w:t>
      </w:r>
    </w:p>
    <w:p w14:paraId="7711AF75">
      <w:pPr>
        <w:adjustRightInd w:val="0"/>
        <w:snapToGrid w:val="0"/>
        <w:spacing w:line="590" w:lineRule="exact"/>
        <w:rPr>
          <w:rFonts w:ascii="仿宋_GB2312" w:hAnsi="仿宋_GB2312" w:eastAsia="仿宋_GB2312" w:cs="仿宋_GB2312"/>
          <w:sz w:val="32"/>
          <w:szCs w:val="32"/>
        </w:rPr>
      </w:pPr>
    </w:p>
    <w:p w14:paraId="35E058E1">
      <w:pPr>
        <w:adjustRightInd w:val="0"/>
        <w:snapToGrid w:val="0"/>
        <w:spacing w:line="590" w:lineRule="exact"/>
        <w:rPr>
          <w:rFonts w:ascii="仿宋_GB2312" w:hAnsi="仿宋_GB2312" w:eastAsia="仿宋_GB2312" w:cs="仿宋_GB2312"/>
          <w:sz w:val="32"/>
          <w:szCs w:val="32"/>
        </w:rPr>
      </w:pPr>
    </w:p>
    <w:p w14:paraId="193F40CA">
      <w:pPr>
        <w:adjustRightInd w:val="0"/>
        <w:snapToGrid w:val="0"/>
        <w:spacing w:line="590" w:lineRule="exact"/>
        <w:rPr>
          <w:rFonts w:ascii="仿宋_GB2312" w:hAnsi="仿宋_GB2312" w:eastAsia="仿宋_GB2312" w:cs="仿宋_GB2312"/>
          <w:sz w:val="32"/>
          <w:szCs w:val="32"/>
        </w:rPr>
      </w:pPr>
    </w:p>
    <w:p w14:paraId="504E28F3">
      <w:pPr>
        <w:adjustRightInd w:val="0"/>
        <w:snapToGrid w:val="0"/>
        <w:spacing w:line="590" w:lineRule="exact"/>
        <w:ind w:firstLine="640" w:firstLineChars="200"/>
        <w:rPr>
          <w:rFonts w:ascii="仿宋_GB2312" w:hAnsi="仿宋_GB2312" w:eastAsia="仿宋_GB2312" w:cs="仿宋_GB2312"/>
          <w:sz w:val="32"/>
          <w:szCs w:val="32"/>
        </w:rPr>
      </w:pPr>
    </w:p>
    <w:sectPr>
      <w:footerReference r:id="rId3" w:type="default"/>
      <w:pgSz w:w="11906" w:h="16838"/>
      <w:pgMar w:top="1560" w:right="1274"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367788-E1CD-43A3-8F2B-9628D06F74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60CF7B4-6843-4A1E-A17F-C5F5DF4F841E}"/>
  </w:font>
  <w:font w:name="方正公文小标宋">
    <w:panose1 w:val="02000500000000000000"/>
    <w:charset w:val="86"/>
    <w:family w:val="auto"/>
    <w:pitch w:val="default"/>
    <w:sig w:usb0="A00002BF" w:usb1="38CF7CFA" w:usb2="00000016" w:usb3="00000000" w:csb0="00040001" w:csb1="00000000"/>
    <w:embedRegular r:id="rId3" w:fontKey="{485B92C1-3F88-4EEE-8954-4CC34A127545}"/>
  </w:font>
  <w:font w:name="方正小标宋_GBK">
    <w:panose1 w:val="02000000000000000000"/>
    <w:charset w:val="86"/>
    <w:family w:val="script"/>
    <w:pitch w:val="default"/>
    <w:sig w:usb0="A00002BF" w:usb1="38CF7CFA" w:usb2="00082016" w:usb3="00000000" w:csb0="00040001" w:csb1="00000000"/>
    <w:embedRegular r:id="rId4" w:fontKey="{78FEC26C-7088-4F44-9308-6668130BE18D}"/>
  </w:font>
  <w:font w:name="仿宋_GB2312">
    <w:panose1 w:val="02010609030101010101"/>
    <w:charset w:val="86"/>
    <w:family w:val="modern"/>
    <w:pitch w:val="default"/>
    <w:sig w:usb0="00000001" w:usb1="080E0000" w:usb2="00000000" w:usb3="00000000" w:csb0="00040000" w:csb1="00000000"/>
    <w:embedRegular r:id="rId5" w:fontKey="{1F13C0C1-F88D-4D8E-B6E7-15B14CD416D8}"/>
  </w:font>
  <w:font w:name="楷体">
    <w:panose1 w:val="02010609060101010101"/>
    <w:charset w:val="86"/>
    <w:family w:val="modern"/>
    <w:pitch w:val="default"/>
    <w:sig w:usb0="800002BF" w:usb1="38CF7CFA" w:usb2="00000016" w:usb3="00000000" w:csb0="00040001" w:csb1="00000000"/>
    <w:embedRegular r:id="rId6" w:fontKey="{9071A4A8-0163-4230-849F-E8A53AD2192C}"/>
  </w:font>
  <w:font w:name="方正小标宋简体">
    <w:panose1 w:val="03000509000000000000"/>
    <w:charset w:val="86"/>
    <w:family w:val="script"/>
    <w:pitch w:val="default"/>
    <w:sig w:usb0="00000001" w:usb1="080E0000" w:usb2="00000000" w:usb3="00000000" w:csb0="00040000" w:csb1="00000000"/>
    <w:embedRegular r:id="rId7" w:fontKey="{03E2270F-AA78-438E-AE9E-0203A55CE7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484564"/>
      <w:docPartObj>
        <w:docPartGallery w:val="autotext"/>
      </w:docPartObj>
    </w:sdtPr>
    <w:sdtContent>
      <w:p w14:paraId="21E84A8E">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6E800E4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E97D0"/>
    <w:multiLevelType w:val="singleLevel"/>
    <w:tmpl w:val="248E97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ECF21EC"/>
    <w:rsid w:val="001A675E"/>
    <w:rsid w:val="0027365A"/>
    <w:rsid w:val="003B2CA8"/>
    <w:rsid w:val="00511E34"/>
    <w:rsid w:val="00612C43"/>
    <w:rsid w:val="006D2D89"/>
    <w:rsid w:val="0076418A"/>
    <w:rsid w:val="009D474B"/>
    <w:rsid w:val="009F58C3"/>
    <w:rsid w:val="00BB77DF"/>
    <w:rsid w:val="00C9537F"/>
    <w:rsid w:val="00CB6C5B"/>
    <w:rsid w:val="00D96631"/>
    <w:rsid w:val="00EF4CBC"/>
    <w:rsid w:val="00F064B5"/>
    <w:rsid w:val="0A897F2D"/>
    <w:rsid w:val="0DAC3E08"/>
    <w:rsid w:val="21582F93"/>
    <w:rsid w:val="2D394456"/>
    <w:rsid w:val="303E6EB7"/>
    <w:rsid w:val="3ECF21EC"/>
    <w:rsid w:val="52DA6FA0"/>
    <w:rsid w:val="58CF68B7"/>
    <w:rsid w:val="6EA97D92"/>
    <w:rsid w:val="70B915B4"/>
    <w:rsid w:val="7ECF0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7360</Words>
  <Characters>7614</Characters>
  <Lines>57</Lines>
  <Paragraphs>16</Paragraphs>
  <TotalTime>31</TotalTime>
  <ScaleCrop>false</ScaleCrop>
  <LinksUpToDate>false</LinksUpToDate>
  <CharactersWithSpaces>7621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2026-01-30T07:37:00Z</dcterms:created>
  <dc:creator>黄晨璐</dc:creator>
  <cp:lastModifiedBy>DＹ.ღ</cp:lastModifiedBy>
  <cp:lastPrinted>2026-02-02T09:15:00Z</cp:lastPrinted>
  <dcterms:modified xsi:type="dcterms:W3CDTF">2026-02-03T01:20:13Z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E25B6D6A90484A1F9C7E84F5F6FBF51A_13</vt:lpwstr>
  </property>
  <property fmtid="{D5CDD505-2E9C-101B-9397-08002B2CF9AE}" pid="4" name="KSOTemplateDocerSaveRecord">
    <vt:lpwstr>eyJoZGlkIjoiNzJjYTE3ZWY4MGQxNjE3MGJhZjlhMDczMDhlYmI2YjUiLCJ1c2VySWQiOiIzNzA5NTE1NDQifQ==</vt:lpwstr>
  </property>
</Properties>
</file>