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23CB2">
      <w:pPr>
        <w:spacing w:line="540" w:lineRule="exact"/>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方案3</w:t>
      </w:r>
    </w:p>
    <w:p w14:paraId="08E5DF6F">
      <w:pPr>
        <w:spacing w:line="540" w:lineRule="exact"/>
        <w:jc w:val="left"/>
        <w:rPr>
          <w:rFonts w:ascii="仿宋_GB2312" w:hAnsi="仿宋_GB2312" w:eastAsia="仿宋_GB2312" w:cs="仿宋_GB2312"/>
          <w:color w:val="000000"/>
          <w:sz w:val="32"/>
          <w:szCs w:val="32"/>
        </w:rPr>
      </w:pPr>
    </w:p>
    <w:p w14:paraId="5E97E9A7">
      <w:pPr>
        <w:spacing w:line="62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福建省医院协会2026年</w:t>
      </w:r>
    </w:p>
    <w:p w14:paraId="710A7B12">
      <w:pPr>
        <w:spacing w:line="62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病案管理优秀案例评选活动方案</w:t>
      </w:r>
    </w:p>
    <w:p w14:paraId="09868B6C">
      <w:pPr>
        <w:spacing w:line="620" w:lineRule="exact"/>
        <w:jc w:val="left"/>
        <w:rPr>
          <w:rFonts w:ascii="方正小标宋简体" w:hAnsi="方正小标宋简体" w:eastAsia="方正小标宋简体" w:cs="方正小标宋简体"/>
          <w:color w:val="000000"/>
          <w:sz w:val="44"/>
          <w:szCs w:val="44"/>
        </w:rPr>
      </w:pPr>
    </w:p>
    <w:p w14:paraId="62809C62">
      <w:pPr>
        <w:spacing w:line="620" w:lineRule="exact"/>
        <w:ind w:firstLine="640" w:firstLineChars="200"/>
        <w:jc w:val="left"/>
        <w:rPr>
          <w:rFonts w:ascii="黑体" w:hAnsi="黑体" w:eastAsia="黑体" w:cs="黑体"/>
          <w:color w:val="000000"/>
          <w:sz w:val="32"/>
          <w:szCs w:val="32"/>
        </w:rPr>
      </w:pPr>
      <w:r>
        <w:rPr>
          <w:rFonts w:hint="eastAsia" w:ascii="黑体" w:hAnsi="黑体" w:eastAsia="黑体" w:cs="黑体"/>
          <w:color w:val="000000"/>
          <w:sz w:val="32"/>
          <w:szCs w:val="32"/>
        </w:rPr>
        <w:t>一、活动主题</w:t>
      </w:r>
    </w:p>
    <w:p w14:paraId="5AAB5098">
      <w:pPr>
        <w:spacing w:line="620" w:lineRule="exact"/>
        <w:ind w:left="-210" w:leftChars="-100"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精管病案· 智赋三医</w:t>
      </w:r>
    </w:p>
    <w:p w14:paraId="796ED706">
      <w:pPr>
        <w:spacing w:line="620" w:lineRule="exact"/>
        <w:ind w:firstLine="640" w:firstLineChars="200"/>
        <w:jc w:val="left"/>
        <w:rPr>
          <w:rFonts w:ascii="黑体" w:hAnsi="黑体" w:eastAsia="黑体" w:cs="黑体"/>
          <w:color w:val="000000"/>
          <w:sz w:val="32"/>
          <w:szCs w:val="32"/>
        </w:rPr>
      </w:pPr>
      <w:r>
        <w:rPr>
          <w:rFonts w:hint="eastAsia" w:ascii="黑体" w:hAnsi="黑体" w:eastAsia="黑体" w:cs="黑体"/>
          <w:color w:val="000000"/>
          <w:sz w:val="32"/>
          <w:szCs w:val="32"/>
        </w:rPr>
        <w:t>二、活动目标</w:t>
      </w:r>
    </w:p>
    <w:p w14:paraId="14BCCF17">
      <w:pPr>
        <w:spacing w:line="62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（一）紧密围绕国家关于公立医院高质量发展、公立医院绩效考核、深化医改（特别是DRG/DIP支付方式改革）、提升医疗质量安全、提升病历内涵质量、加强医院信息化与数据治理等政策要求，发掘优秀实践。</w:t>
      </w:r>
    </w:p>
    <w:p w14:paraId="32B18253">
      <w:pPr>
        <w:spacing w:line="62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（二）推动全省医疗机构夯实病案首页质量，提升病历内涵质量，为医院管理、医保支付、质量评价、科研决策提供高质量数据支撑。</w:t>
      </w:r>
    </w:p>
    <w:p w14:paraId="0DE8EA6C">
      <w:pPr>
        <w:spacing w:line="62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（三）提升病案编码员队伍建设，促进全省病案管理人员专业水平提升。</w:t>
      </w:r>
    </w:p>
    <w:p w14:paraId="1E8CA010">
      <w:pPr>
        <w:spacing w:line="620" w:lineRule="exact"/>
        <w:ind w:firstLine="640" w:firstLineChars="200"/>
        <w:jc w:val="left"/>
        <w:rPr>
          <w:rFonts w:ascii="黑体" w:hAnsi="黑体" w:eastAsia="黑体" w:cs="黑体"/>
          <w:color w:val="000000"/>
          <w:sz w:val="32"/>
          <w:szCs w:val="32"/>
        </w:rPr>
      </w:pPr>
      <w:r>
        <w:rPr>
          <w:rFonts w:hint="eastAsia" w:ascii="仿宋_GB2312" w:hAnsi="仿宋_GB2312" w:eastAsia="仿宋_GB2312" w:cs="仿宋_GB2312"/>
          <w:color w:val="000000"/>
          <w:sz w:val="32"/>
          <w:szCs w:val="32"/>
        </w:rPr>
        <w:t>（四）增强病案管理专业在服务医院高质量发展大局中的贡献度和影响力，提升从业人员职业认同感。</w:t>
      </w:r>
      <w:r>
        <w:rPr>
          <w:rFonts w:hint="eastAsia" w:ascii="仿宋_GB2312" w:hAnsi="仿宋_GB2312" w:eastAsia="仿宋_GB2312" w:cs="仿宋_GB2312"/>
          <w:color w:val="000000"/>
          <w:sz w:val="32"/>
          <w:szCs w:val="32"/>
        </w:rPr>
        <w:br w:type="textWrapping"/>
      </w:r>
      <w:r>
        <w:rPr>
          <w:rFonts w:hint="eastAsia" w:ascii="黑体" w:hAnsi="黑体" w:eastAsia="黑体" w:cs="黑体"/>
          <w:color w:val="000000"/>
          <w:sz w:val="32"/>
          <w:szCs w:val="32"/>
        </w:rPr>
        <w:t xml:space="preserve">    三、 组织单位</w:t>
      </w:r>
    </w:p>
    <w:p w14:paraId="03D9AF2A">
      <w:pPr>
        <w:spacing w:line="620" w:lineRule="exact"/>
        <w:ind w:firstLine="640" w:firstLineChars="200"/>
        <w:jc w:val="left"/>
        <w:rPr>
          <w:rFonts w:ascii="仿宋_GB2312" w:hAnsi="仿宋_GB2312" w:eastAsia="仿宋_GB2312" w:cs="仿宋_GB2312"/>
          <w:color w:val="000000"/>
          <w:sz w:val="32"/>
          <w:szCs w:val="32"/>
        </w:rPr>
      </w:pPr>
      <w:r>
        <w:rPr>
          <w:rFonts w:hint="eastAsia" w:ascii="方正楷体_GB2312" w:hAnsi="方正楷体_GB2312" w:eastAsia="方正楷体_GB2312" w:cs="方正楷体_GB2312"/>
          <w:bCs/>
          <w:color w:val="000000"/>
          <w:sz w:val="32"/>
          <w:szCs w:val="32"/>
        </w:rPr>
        <w:t>（一）主办单位：</w:t>
      </w:r>
      <w:r>
        <w:rPr>
          <w:rFonts w:hint="eastAsia" w:ascii="仿宋_GB2312" w:hAnsi="仿宋_GB2312" w:eastAsia="仿宋_GB2312" w:cs="仿宋_GB2312"/>
          <w:color w:val="000000"/>
          <w:sz w:val="32"/>
          <w:szCs w:val="32"/>
        </w:rPr>
        <w:t>福建省医院协会病案管理分会</w:t>
      </w:r>
    </w:p>
    <w:p w14:paraId="1426B8B3">
      <w:pPr>
        <w:spacing w:line="620" w:lineRule="exact"/>
        <w:ind w:firstLine="640" w:firstLineChars="200"/>
        <w:jc w:val="left"/>
        <w:rPr>
          <w:rFonts w:ascii="仿宋_GB2312" w:hAnsi="仿宋_GB2312" w:eastAsia="仿宋_GB2312" w:cs="仿宋_GB2312"/>
          <w:color w:val="000000"/>
          <w:sz w:val="32"/>
          <w:szCs w:val="32"/>
        </w:rPr>
      </w:pPr>
      <w:r>
        <w:rPr>
          <w:rFonts w:hint="eastAsia" w:ascii="方正楷体_GB2312" w:hAnsi="方正楷体_GB2312" w:eastAsia="方正楷体_GB2312" w:cs="方正楷体_GB2312"/>
          <w:bCs/>
          <w:color w:val="000000"/>
          <w:sz w:val="32"/>
          <w:szCs w:val="32"/>
        </w:rPr>
        <w:t>（二）承办单位：</w:t>
      </w:r>
      <w:r>
        <w:rPr>
          <w:rFonts w:hint="eastAsia" w:ascii="仿宋_GB2312" w:hAnsi="仿宋_GB2312" w:eastAsia="仿宋_GB2312" w:cs="仿宋_GB2312"/>
          <w:color w:val="000000"/>
          <w:sz w:val="32"/>
          <w:szCs w:val="32"/>
        </w:rPr>
        <w:t>福建医科大学附属协和医院</w:t>
      </w:r>
    </w:p>
    <w:p w14:paraId="6D263D20">
      <w:pPr>
        <w:spacing w:line="620" w:lineRule="exact"/>
        <w:ind w:left="638" w:leftChars="304"/>
        <w:jc w:val="left"/>
        <w:rPr>
          <w:rFonts w:ascii="黑体" w:hAnsi="黑体" w:eastAsia="黑体" w:cs="黑体"/>
          <w:color w:val="000000"/>
          <w:sz w:val="32"/>
          <w:szCs w:val="32"/>
        </w:rPr>
      </w:pPr>
      <w:r>
        <w:rPr>
          <w:rFonts w:hint="eastAsia" w:ascii="黑体" w:hAnsi="黑体" w:eastAsia="黑体" w:cs="黑体"/>
          <w:color w:val="000000"/>
          <w:sz w:val="32"/>
          <w:szCs w:val="32"/>
        </w:rPr>
        <w:t>四、 参评对象</w:t>
      </w:r>
    </w:p>
    <w:p w14:paraId="75BF966E">
      <w:pPr>
        <w:spacing w:line="62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福建省医院协会各会员单位</w:t>
      </w:r>
    </w:p>
    <w:p w14:paraId="3711D804">
      <w:pPr>
        <w:spacing w:line="620" w:lineRule="exact"/>
        <w:ind w:left="319" w:leftChars="152" w:firstLine="320" w:firstLineChars="100"/>
        <w:jc w:val="left"/>
        <w:rPr>
          <w:rFonts w:ascii="黑体" w:hAnsi="黑体" w:eastAsia="黑体" w:cs="黑体"/>
          <w:color w:val="000000"/>
          <w:sz w:val="32"/>
          <w:szCs w:val="32"/>
        </w:rPr>
      </w:pPr>
      <w:r>
        <w:rPr>
          <w:rFonts w:hint="eastAsia" w:ascii="黑体" w:hAnsi="黑体" w:eastAsia="黑体" w:cs="黑体"/>
          <w:color w:val="000000"/>
          <w:sz w:val="32"/>
          <w:szCs w:val="32"/>
        </w:rPr>
        <w:t>五、具体实施步骤</w:t>
      </w:r>
    </w:p>
    <w:p w14:paraId="369202E7">
      <w:pPr>
        <w:spacing w:line="620" w:lineRule="exact"/>
        <w:ind w:firstLine="640" w:firstLineChars="200"/>
        <w:jc w:val="left"/>
        <w:rPr>
          <w:rFonts w:ascii="楷体_GB2312" w:hAnsi="方正楷体_GB2312" w:eastAsia="楷体_GB2312" w:cs="方正楷体_GB2312"/>
          <w:color w:val="000000"/>
          <w:sz w:val="32"/>
          <w:szCs w:val="32"/>
        </w:rPr>
      </w:pPr>
      <w:r>
        <w:rPr>
          <w:rFonts w:hint="eastAsia" w:ascii="楷体_GB2312" w:hAnsi="方正楷体_GB2312" w:eastAsia="楷体_GB2312" w:cs="方正楷体_GB2312"/>
          <w:bCs/>
          <w:color w:val="000000"/>
          <w:sz w:val="32"/>
          <w:szCs w:val="32"/>
        </w:rPr>
        <w:t>（一）筹备启动</w:t>
      </w:r>
    </w:p>
    <w:p w14:paraId="4A918476">
      <w:pPr>
        <w:spacing w:line="62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1.各单位根据福建省医院协会正式发布的通知启动对应分会优秀管理案例院内遴选报送。</w:t>
      </w:r>
    </w:p>
    <w:p w14:paraId="718BBE07">
      <w:pPr>
        <w:spacing w:line="62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2.福建省医院协会病案管理分会同步启动组建设立本分会活动组委制定评选标准。</w:t>
      </w:r>
    </w:p>
    <w:p w14:paraId="4E38B9A6">
      <w:pPr>
        <w:spacing w:line="620" w:lineRule="exact"/>
        <w:ind w:left="638" w:leftChars="304"/>
        <w:jc w:val="left"/>
        <w:rPr>
          <w:rFonts w:ascii="楷体_GB2312" w:hAnsi="仿宋_GB2312" w:eastAsia="楷体_GB2312" w:cs="仿宋_GB2312"/>
          <w:color w:val="000000"/>
          <w:sz w:val="32"/>
          <w:szCs w:val="32"/>
        </w:rPr>
      </w:pPr>
      <w:r>
        <w:rPr>
          <w:rFonts w:hint="eastAsia" w:ascii="楷体_GB2312" w:hAnsi="方正楷体_GB2312" w:eastAsia="楷体_GB2312" w:cs="方正楷体_GB2312"/>
          <w:bCs/>
          <w:color w:val="000000"/>
          <w:sz w:val="32"/>
          <w:szCs w:val="32"/>
        </w:rPr>
        <w:t xml:space="preserve">（二）案例征集 </w:t>
      </w:r>
    </w:p>
    <w:p w14:paraId="11DE48A2">
      <w:pPr>
        <w:spacing w:line="62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各单位根据福建省医院协会正式下发的通知组织院内遴选，准备参评案例，具体报送要求如下：</w:t>
      </w:r>
    </w:p>
    <w:p w14:paraId="77625484">
      <w:pPr>
        <w:spacing w:line="62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1.案例数量：</w:t>
      </w:r>
      <w:r>
        <w:rPr>
          <w:rFonts w:hint="eastAsia" w:ascii="仿宋_GB2312" w:hAnsi="仿宋_GB2312" w:eastAsia="仿宋_GB2312" w:cs="仿宋_GB2312"/>
          <w:color w:val="000000"/>
          <w:sz w:val="32"/>
          <w:szCs w:val="32"/>
        </w:rPr>
        <w:t>市级（含）及以上单位每家推荐报送优秀管理案例数量应至少2篇，市级以下单位报送数量应至少1篇。</w:t>
      </w:r>
    </w:p>
    <w:p w14:paraId="253B762C">
      <w:pPr>
        <w:spacing w:line="62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2.案例内容：</w:t>
      </w:r>
      <w:r>
        <w:rPr>
          <w:rFonts w:hint="eastAsia" w:ascii="仿宋_GB2312" w:hAnsi="仿宋_GB2312" w:eastAsia="仿宋_GB2312" w:cs="仿宋_GB2312"/>
          <w:color w:val="000000"/>
          <w:sz w:val="32"/>
          <w:szCs w:val="32"/>
        </w:rPr>
        <w:t>管理案例应为原创</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color w:val="000000"/>
          <w:sz w:val="32"/>
          <w:szCs w:val="32"/>
        </w:rPr>
        <w:t xml:space="preserve">内容应包含案例概述，简要介绍案例背景、目标和主要解决的问题；案例实施过程，详细描述为解决问题所采取的具体措施、步骤和方法；案例成效，呈现案例实施后取得的可量化成果；案例亮点，突出案例在创新性、独特性方面的特点；案例可推广性，说明案例经验在其他医疗机构或类似场景中复制应用的可能性和方式；案例总结与反思，对案例实施过程中的经验教训进行总结，并提出未来改进方向和建议。同时，案例内容应语言通顺、逻辑清晰、数据准确，以确保能够完整、清晰地展示病案管理的优秀实践。 </w:t>
      </w:r>
    </w:p>
    <w:p w14:paraId="28F4EED4">
      <w:pPr>
        <w:spacing w:line="62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3.格式要求：</w:t>
      </w:r>
      <w:r>
        <w:rPr>
          <w:rFonts w:hint="eastAsia" w:ascii="仿宋_GB2312" w:hAnsi="仿宋_GB2312" w:eastAsia="仿宋_GB2312" w:cs="仿宋_GB2312"/>
          <w:color w:val="000000"/>
          <w:sz w:val="32"/>
          <w:szCs w:val="32"/>
        </w:rPr>
        <w:t>本次案例提交应包含简版概括（500字以内），详版案例（2000-2500字），根据PPT模板撰写案例。</w:t>
      </w:r>
    </w:p>
    <w:p w14:paraId="187A1811">
      <w:pPr>
        <w:spacing w:line="620" w:lineRule="exact"/>
        <w:ind w:firstLine="640" w:firstLineChars="200"/>
        <w:jc w:val="left"/>
        <w:rPr>
          <w:rFonts w:ascii="楷体_GB2312" w:hAnsi="方正楷体_GB2312" w:eastAsia="楷体_GB2312" w:cs="方正楷体_GB2312"/>
          <w:bCs/>
          <w:color w:val="000000"/>
          <w:sz w:val="32"/>
          <w:szCs w:val="32"/>
        </w:rPr>
      </w:pPr>
      <w:r>
        <w:rPr>
          <w:rFonts w:hint="eastAsia" w:ascii="楷体_GB2312" w:hAnsi="方正楷体_GB2312" w:eastAsia="楷体_GB2312" w:cs="方正楷体_GB2312"/>
          <w:bCs/>
          <w:color w:val="000000"/>
          <w:sz w:val="32"/>
          <w:szCs w:val="32"/>
        </w:rPr>
        <w:t>（三）案例评审</w:t>
      </w:r>
    </w:p>
    <w:p w14:paraId="2E31B87F">
      <w:pPr>
        <w:spacing w:line="620" w:lineRule="exact"/>
        <w:ind w:firstLine="640" w:firstLineChars="200"/>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案例审核（4月15日前）：组委会将对各单位提交的材料的合规性及数量做初审，对于数量不足的及时反馈补充意见，对于材料格式不符合要求的及时退回修改并说明具体的格式问题，要求在规定时间内重新提交符合格式的材料，对于初审通过的案例，将进入进一步的评审环节。</w:t>
      </w:r>
    </w:p>
    <w:p w14:paraId="6AEAC606">
      <w:pPr>
        <w:spacing w:line="620" w:lineRule="exact"/>
        <w:ind w:firstLine="640" w:firstLineChars="200"/>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专家初评审（4月28日前）：组委会将邀请行业内的权威专家组成评审专家组。初审阶段组委会将从案例概述、实施过程、成效、亮点、可推广性以及总结与反思等方面进行打分和评价，确保评审结果的科学性和公正性。</w:t>
      </w:r>
    </w:p>
    <w:p w14:paraId="6DFF4C0F">
      <w:pPr>
        <w:spacing w:line="620" w:lineRule="exact"/>
        <w:ind w:firstLine="640" w:firstLineChars="200"/>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综合评定（4月30日前）：在专家评审结束后，组委会将汇总专家们的评审意见和评分情况。结合案例的初审情况，综合考虑案例的创新性、独特性、可推广性等因素对所有案例进行综合评定，根据综合得分取得分前15名进入现场评审的候选名单。</w:t>
      </w:r>
    </w:p>
    <w:p w14:paraId="559BDF2C">
      <w:pPr>
        <w:spacing w:line="62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4.现场评审（5月20日前）：进入现场评审的候选单位需进行现场汇报。组委会将在初评审专家组的基础上，通过抽选</w:t>
      </w:r>
      <w:r>
        <w:rPr>
          <w:rFonts w:hint="eastAsia" w:ascii="仿宋_GB2312" w:hAnsi="仿宋_GB2312" w:eastAsia="仿宋_GB2312" w:cs="仿宋_GB2312"/>
          <w:color w:val="000000"/>
          <w:sz w:val="32"/>
          <w:szCs w:val="32"/>
        </w:rPr>
        <w:t>及再补充组成现场评审专家组。候选单位代表要以PPT展示的形式，详细呈现病案管理案例的具体情况，包括案例背景、实施过程、遇到的问题及解决办法、取得的成效等方面。汇报过程中需突出案例的创新性、独特性以及可推广性。汇报结束后，评审专家组将针对汇报内容进行提问，候选单位代表需现场作答，以进一步考察其对案例的理解和实际操作能力。</w:t>
      </w:r>
    </w:p>
    <w:p w14:paraId="20313B7E">
      <w:pPr>
        <w:spacing w:line="62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5.结果审定</w:t>
      </w:r>
      <w:r>
        <w:rPr>
          <w:rFonts w:hint="eastAsia" w:ascii="仿宋_GB2312" w:hAnsi="仿宋_GB2312" w:eastAsia="仿宋_GB2312" w:cs="仿宋_GB2312"/>
          <w:color w:val="000000"/>
          <w:sz w:val="32"/>
          <w:szCs w:val="32"/>
        </w:rPr>
        <w:t>（5月25日前）：现场评定结果将提交活动组委会进行最终审定。组委会将对候选名单进行再次审核，确保评选结果符合活动的目标和要求。对于存在争议的案例，组委会将组织专家进行再次讨论和评估，以确定最终的获奖名单。</w:t>
      </w:r>
    </w:p>
    <w:p w14:paraId="4351E330">
      <w:pPr>
        <w:spacing w:line="620" w:lineRule="exact"/>
        <w:ind w:left="319" w:leftChars="152" w:firstLine="320" w:firstLineChars="100"/>
        <w:jc w:val="left"/>
        <w:rPr>
          <w:rFonts w:ascii="仿宋_GB2312" w:hAnsi="仿宋_GB2312" w:eastAsia="仿宋_GB2312" w:cs="仿宋_GB2312"/>
          <w:color w:val="000000"/>
          <w:sz w:val="32"/>
          <w:szCs w:val="32"/>
        </w:rPr>
      </w:pPr>
      <w:r>
        <w:rPr>
          <w:rFonts w:hint="eastAsia" w:ascii="楷体_GB2312" w:hAnsi="方正楷体_GB2312" w:eastAsia="楷体_GB2312" w:cs="方正楷体_GB2312"/>
          <w:bCs/>
          <w:color w:val="000000"/>
          <w:sz w:val="32"/>
          <w:szCs w:val="32"/>
        </w:rPr>
        <w:t>（四）奖项设置</w:t>
      </w:r>
    </w:p>
    <w:p w14:paraId="2DF73ED9">
      <w:pPr>
        <w:spacing w:line="62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本次案例评选活动设一等奖、二等奖，三等奖、优秀奖若干名。</w:t>
      </w:r>
    </w:p>
    <w:p w14:paraId="3182CF78">
      <w:pPr>
        <w:spacing w:line="620" w:lineRule="exact"/>
        <w:ind w:firstLine="640" w:firstLineChars="200"/>
        <w:jc w:val="left"/>
        <w:rPr>
          <w:rFonts w:ascii="黑体" w:hAnsi="黑体" w:eastAsia="黑体" w:cs="黑体"/>
          <w:color w:val="000000"/>
          <w:sz w:val="32"/>
          <w:szCs w:val="32"/>
        </w:rPr>
      </w:pPr>
      <w:r>
        <w:rPr>
          <w:rFonts w:hint="eastAsia" w:ascii="黑体" w:hAnsi="黑体" w:eastAsia="黑体" w:cs="黑体"/>
          <w:color w:val="000000"/>
          <w:sz w:val="32"/>
          <w:szCs w:val="32"/>
        </w:rPr>
        <w:t>六、工作要求</w:t>
      </w:r>
    </w:p>
    <w:p w14:paraId="76F81D93">
      <w:pPr>
        <w:spacing w:line="620" w:lineRule="exact"/>
        <w:ind w:firstLine="640" w:firstLineChars="200"/>
        <w:jc w:val="left"/>
        <w:rPr>
          <w:rFonts w:ascii="楷体_GB2312" w:hAnsi="方正楷体_GB2312" w:eastAsia="楷体_GB2312" w:cs="方正楷体_GB2312"/>
          <w:bCs/>
          <w:color w:val="000000"/>
          <w:sz w:val="32"/>
          <w:szCs w:val="32"/>
        </w:rPr>
      </w:pPr>
      <w:r>
        <w:rPr>
          <w:rFonts w:hint="eastAsia" w:ascii="楷体_GB2312" w:hAnsi="方正楷体_GB2312" w:eastAsia="楷体_GB2312" w:cs="方正楷体_GB2312"/>
          <w:bCs/>
          <w:color w:val="000000"/>
          <w:sz w:val="32"/>
          <w:szCs w:val="32"/>
        </w:rPr>
        <w:t>（一）认真组织实施</w:t>
      </w:r>
    </w:p>
    <w:p w14:paraId="284DF9AF">
      <w:pPr>
        <w:spacing w:line="62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各单位要高度重视本次优秀病案管理案例评选活动，按照活动方案的要求，有序开展案例征集、整理和报送等工作。同时，要建立有效地沟通协调机制，及时解决活动过程中出现的问题。</w:t>
      </w:r>
    </w:p>
    <w:p w14:paraId="36079185">
      <w:pPr>
        <w:spacing w:line="620" w:lineRule="exact"/>
        <w:ind w:firstLine="640" w:firstLineChars="200"/>
        <w:jc w:val="left"/>
        <w:rPr>
          <w:rFonts w:ascii="楷体_GB2312" w:hAnsi="方正楷体_GB2312" w:eastAsia="楷体_GB2312" w:cs="方正楷体_GB2312"/>
          <w:bCs/>
          <w:color w:val="000000"/>
          <w:sz w:val="32"/>
          <w:szCs w:val="32"/>
        </w:rPr>
      </w:pPr>
      <w:r>
        <w:rPr>
          <w:rFonts w:hint="eastAsia" w:ascii="楷体_GB2312" w:hAnsi="方正楷体_GB2312" w:eastAsia="楷体_GB2312" w:cs="方正楷体_GB2312"/>
          <w:bCs/>
          <w:color w:val="000000"/>
          <w:sz w:val="32"/>
          <w:szCs w:val="32"/>
        </w:rPr>
        <w:t>（二）把握重点</w:t>
      </w:r>
    </w:p>
    <w:p w14:paraId="7BD26B70">
      <w:pPr>
        <w:spacing w:line="62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次福建省病案管理分会的案例评选活动将聚焦近三年内各医疗机构在病历内涵质量提升行动中已实践执行半年以上，且有真实的数据和事实支撑并取得良好成效的案例。各会员单位在推荐案例时应秉承“从问题出发，突出特色”的原则，着重挖掘案例中所解决的实际问题、采用的独特方法和取得的显著成效。要深入分析案例在提升病历内涵质量方面的创新性、实用性和可推广性，避免推荐那些缺乏实质内容、方法陈旧或效果不明显的案例。</w:t>
      </w:r>
    </w:p>
    <w:p w14:paraId="2033C5AD">
      <w:pPr>
        <w:spacing w:line="620" w:lineRule="exact"/>
        <w:ind w:firstLine="640" w:firstLineChars="200"/>
        <w:jc w:val="left"/>
        <w:rPr>
          <w:rFonts w:ascii="黑体" w:hAnsi="黑体" w:eastAsia="黑体" w:cs="黑体"/>
          <w:color w:val="000000"/>
          <w:sz w:val="32"/>
          <w:szCs w:val="32"/>
        </w:rPr>
      </w:pPr>
      <w:r>
        <w:rPr>
          <w:rFonts w:hint="eastAsia" w:ascii="黑体" w:hAnsi="黑体" w:eastAsia="黑体" w:cs="黑体"/>
          <w:color w:val="000000"/>
          <w:sz w:val="32"/>
          <w:szCs w:val="32"/>
        </w:rPr>
        <w:t>七、其他事项</w:t>
      </w:r>
    </w:p>
    <w:p w14:paraId="79CDDB53">
      <w:pPr>
        <w:spacing w:line="62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1.本次案例遴选推荐截止时间为2026年4月15日，请各单位按照模板报送，其中申报表需报送电子版及加盖医院公章的PDF版本的，PPT需按照“福建省医院协会病案分会案例评选+医院名称+案例名称”统一命名后报送。</w:t>
      </w:r>
    </w:p>
    <w:p w14:paraId="2961CB4F">
      <w:pPr>
        <w:spacing w:line="62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2.联系方式</w:t>
      </w:r>
    </w:p>
    <w:p w14:paraId="34D8A1AB">
      <w:pPr>
        <w:spacing w:line="62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联系人：郑老师，联系方式：0591-86218341,18065086286</w:t>
      </w:r>
    </w:p>
    <w:p w14:paraId="2C3D3FA4">
      <w:pPr>
        <w:spacing w:line="62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电子邮箱：</w:t>
      </w:r>
      <w:r>
        <w:fldChar w:fldCharType="begin"/>
      </w:r>
      <w:r>
        <w:instrText xml:space="preserve"> HYPERLINK "mailto:zhengriqing0926@126.com。" </w:instrText>
      </w:r>
      <w:r>
        <w:fldChar w:fldCharType="separate"/>
      </w:r>
      <w:r>
        <w:rPr>
          <w:rFonts w:hint="eastAsia" w:ascii="仿宋_GB2312" w:hAnsi="仿宋_GB2312" w:eastAsia="仿宋_GB2312" w:cs="仿宋_GB2312"/>
          <w:color w:val="000000"/>
          <w:sz w:val="32"/>
          <w:szCs w:val="32"/>
        </w:rPr>
        <w:t>zhengriqing0926@126.com。</w:t>
      </w:r>
      <w:r>
        <w:rPr>
          <w:rFonts w:hint="eastAsia" w:ascii="仿宋_GB2312" w:hAnsi="仿宋_GB2312" w:eastAsia="仿宋_GB2312" w:cs="仿宋_GB2312"/>
          <w:color w:val="000000"/>
          <w:sz w:val="32"/>
          <w:szCs w:val="32"/>
        </w:rPr>
        <w:fldChar w:fldCharType="end"/>
      </w:r>
    </w:p>
    <w:p w14:paraId="684D9436">
      <w:pPr>
        <w:spacing w:line="620" w:lineRule="exact"/>
        <w:ind w:left="1280" w:hanging="1280" w:hangingChars="4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附件：1.福建省医院协会2026年“精管病案· 智赋三医”案例申报表</w:t>
      </w:r>
    </w:p>
    <w:p w14:paraId="7321B2D1">
      <w:pPr>
        <w:numPr>
          <w:ilvl w:val="0"/>
          <w:numId w:val="1"/>
        </w:numPr>
        <w:spacing w:line="620" w:lineRule="exact"/>
        <w:ind w:left="1278" w:leftChars="456" w:hanging="320" w:hangingChars="1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福建省医院协会2026年“精管病案· 智赋三医”案例汇总表</w:t>
      </w:r>
    </w:p>
    <w:p w14:paraId="70B62FC3">
      <w:pPr>
        <w:numPr>
          <w:ilvl w:val="0"/>
          <w:numId w:val="1"/>
        </w:numPr>
        <w:spacing w:line="620" w:lineRule="exact"/>
        <w:ind w:left="1278" w:leftChars="456" w:hanging="320" w:hangingChars="1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福建省医院协会病案管理分会2026年“精管病案· 智赋三医”案例PPT模板</w:t>
      </w:r>
      <w:bookmarkStart w:id="0" w:name="_GoBack"/>
      <w:bookmarkEnd w:id="0"/>
    </w:p>
    <w:p w14:paraId="4CACA2EC">
      <w:pPr>
        <w:spacing w:line="54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附件1</w:t>
      </w:r>
    </w:p>
    <w:p w14:paraId="0B07582F">
      <w:pPr>
        <w:spacing w:line="540" w:lineRule="exact"/>
        <w:jc w:val="left"/>
        <w:rPr>
          <w:rFonts w:ascii="仿宋_GB2312" w:hAnsi="仿宋_GB2312" w:eastAsia="仿宋_GB2312" w:cs="仿宋_GB2312"/>
          <w:color w:val="000000"/>
          <w:sz w:val="32"/>
          <w:szCs w:val="32"/>
        </w:rPr>
      </w:pPr>
    </w:p>
    <w:p w14:paraId="7BEA7EFA">
      <w:pPr>
        <w:spacing w:line="54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福建省医院协会2026年“精管病案· 智赋三医”</w:t>
      </w:r>
    </w:p>
    <w:p w14:paraId="7CE80B2B">
      <w:pPr>
        <w:spacing w:line="54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案例申报表</w:t>
      </w:r>
    </w:p>
    <w:p w14:paraId="05EB0539">
      <w:pPr>
        <w:spacing w:line="540" w:lineRule="exact"/>
        <w:jc w:val="center"/>
        <w:rPr>
          <w:rFonts w:ascii="方正小标宋简体" w:hAnsi="方正小标宋简体" w:eastAsia="方正小标宋简体" w:cs="方正小标宋简体"/>
          <w:color w:val="000000"/>
          <w:sz w:val="36"/>
          <w:szCs w:val="36"/>
        </w:rPr>
      </w:pPr>
    </w:p>
    <w:tbl>
      <w:tblPr>
        <w:tblStyle w:val="5"/>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2348"/>
        <w:gridCol w:w="1785"/>
        <w:gridCol w:w="3535"/>
      </w:tblGrid>
      <w:tr w14:paraId="3115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noWrap/>
            <w:vAlign w:val="center"/>
          </w:tcPr>
          <w:p w14:paraId="2FE11414">
            <w:pPr>
              <w:spacing w:line="6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案例名称</w:t>
            </w:r>
          </w:p>
        </w:tc>
        <w:tc>
          <w:tcPr>
            <w:tcW w:w="7668" w:type="dxa"/>
            <w:gridSpan w:val="3"/>
            <w:noWrap/>
          </w:tcPr>
          <w:p w14:paraId="35BDFBB1">
            <w:pPr>
              <w:spacing w:line="600" w:lineRule="exact"/>
              <w:jc w:val="left"/>
              <w:rPr>
                <w:rFonts w:ascii="仿宋_GB2312" w:hAnsi="仿宋_GB2312" w:eastAsia="仿宋_GB2312" w:cs="仿宋_GB2312"/>
                <w:color w:val="000000"/>
                <w:sz w:val="32"/>
                <w:szCs w:val="32"/>
              </w:rPr>
            </w:pPr>
          </w:p>
        </w:tc>
      </w:tr>
      <w:tr w14:paraId="061B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noWrap/>
            <w:vAlign w:val="center"/>
          </w:tcPr>
          <w:p w14:paraId="5FAD8720">
            <w:pPr>
              <w:spacing w:line="6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报送单位</w:t>
            </w:r>
          </w:p>
        </w:tc>
        <w:tc>
          <w:tcPr>
            <w:tcW w:w="7668" w:type="dxa"/>
            <w:gridSpan w:val="3"/>
            <w:noWrap/>
          </w:tcPr>
          <w:p w14:paraId="4BBA7CC5">
            <w:pPr>
              <w:spacing w:line="600" w:lineRule="exact"/>
              <w:jc w:val="left"/>
              <w:rPr>
                <w:rFonts w:ascii="仿宋_GB2312" w:hAnsi="仿宋_GB2312" w:eastAsia="仿宋_GB2312" w:cs="仿宋_GB2312"/>
                <w:color w:val="000000"/>
                <w:sz w:val="32"/>
                <w:szCs w:val="32"/>
              </w:rPr>
            </w:pPr>
          </w:p>
        </w:tc>
      </w:tr>
      <w:tr w14:paraId="1101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noWrap/>
            <w:vAlign w:val="center"/>
          </w:tcPr>
          <w:p w14:paraId="1E4C08A4">
            <w:pPr>
              <w:spacing w:line="6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 系 人</w:t>
            </w:r>
          </w:p>
        </w:tc>
        <w:tc>
          <w:tcPr>
            <w:tcW w:w="2348" w:type="dxa"/>
            <w:noWrap/>
            <w:vAlign w:val="center"/>
          </w:tcPr>
          <w:p w14:paraId="46FBB870">
            <w:pPr>
              <w:spacing w:line="600" w:lineRule="exact"/>
              <w:jc w:val="center"/>
              <w:rPr>
                <w:rFonts w:ascii="仿宋_GB2312" w:hAnsi="仿宋_GB2312" w:eastAsia="仿宋_GB2312" w:cs="仿宋_GB2312"/>
                <w:color w:val="000000"/>
                <w:sz w:val="32"/>
                <w:szCs w:val="32"/>
              </w:rPr>
            </w:pPr>
          </w:p>
        </w:tc>
        <w:tc>
          <w:tcPr>
            <w:tcW w:w="1785" w:type="dxa"/>
            <w:noWrap/>
            <w:vAlign w:val="center"/>
          </w:tcPr>
          <w:p w14:paraId="6E9E1162">
            <w:pPr>
              <w:spacing w:line="6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w:t>
            </w:r>
          </w:p>
        </w:tc>
        <w:tc>
          <w:tcPr>
            <w:tcW w:w="3535" w:type="dxa"/>
            <w:noWrap/>
            <w:vAlign w:val="center"/>
          </w:tcPr>
          <w:p w14:paraId="344FBB57">
            <w:pPr>
              <w:spacing w:line="440" w:lineRule="exact"/>
              <w:jc w:val="center"/>
              <w:rPr>
                <w:rFonts w:ascii="仿宋_GB2312" w:hAnsi="仿宋_GB2312" w:eastAsia="仿宋_GB2312" w:cs="仿宋_GB2312"/>
                <w:color w:val="000000"/>
                <w:sz w:val="32"/>
                <w:szCs w:val="32"/>
              </w:rPr>
            </w:pPr>
          </w:p>
        </w:tc>
      </w:tr>
      <w:tr w14:paraId="6375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8" w:hRule="atLeast"/>
          <w:jc w:val="center"/>
        </w:trPr>
        <w:tc>
          <w:tcPr>
            <w:tcW w:w="1531" w:type="dxa"/>
            <w:noWrap/>
          </w:tcPr>
          <w:p w14:paraId="315B4E6A">
            <w:pPr>
              <w:spacing w:line="600" w:lineRule="exact"/>
              <w:jc w:val="center"/>
              <w:rPr>
                <w:rFonts w:ascii="仿宋_GB2312" w:hAnsi="仿宋_GB2312" w:eastAsia="仿宋_GB2312" w:cs="仿宋_GB2312"/>
                <w:color w:val="000000"/>
                <w:sz w:val="32"/>
                <w:szCs w:val="32"/>
              </w:rPr>
            </w:pPr>
          </w:p>
          <w:p w14:paraId="652BB420">
            <w:pPr>
              <w:spacing w:line="6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案例简版概括</w:t>
            </w:r>
          </w:p>
        </w:tc>
        <w:tc>
          <w:tcPr>
            <w:tcW w:w="7668" w:type="dxa"/>
            <w:gridSpan w:val="3"/>
            <w:noWrap/>
          </w:tcPr>
          <w:p w14:paraId="4D641F96">
            <w:pPr>
              <w:adjustRightInd w:val="0"/>
              <w:snapToGrid w:val="0"/>
              <w:spacing w:line="440" w:lineRule="exact"/>
              <w:jc w:val="left"/>
              <w:rPr>
                <w:rFonts w:ascii="方正楷体_GB2312" w:hAnsi="方正楷体_GB2312" w:eastAsia="方正楷体_GB2312" w:cs="方正楷体_GB2312"/>
                <w:b/>
                <w:bCs/>
                <w:color w:val="000000"/>
                <w:sz w:val="32"/>
                <w:szCs w:val="32"/>
              </w:rPr>
            </w:pPr>
            <w:r>
              <w:rPr>
                <w:rFonts w:hint="eastAsia" w:ascii="方正楷体_GB2312" w:hAnsi="方正楷体_GB2312" w:eastAsia="方正楷体_GB2312" w:cs="方正楷体_GB2312"/>
                <w:b/>
                <w:bCs/>
                <w:color w:val="000000"/>
                <w:sz w:val="32"/>
                <w:szCs w:val="32"/>
              </w:rPr>
              <w:t>（简要介绍案例背景、创新亮点、主要做法及取得成效，内容控制在500字以内）</w:t>
            </w:r>
          </w:p>
          <w:p w14:paraId="4D5CEE0A">
            <w:pPr>
              <w:snapToGrid w:val="0"/>
              <w:jc w:val="left"/>
              <w:rPr>
                <w:rFonts w:ascii="仿宋_GB2312" w:hAnsi="仿宋_GB2312" w:eastAsia="仿宋_GB2312" w:cs="仿宋_GB2312"/>
                <w:color w:val="000000"/>
                <w:sz w:val="32"/>
                <w:szCs w:val="32"/>
              </w:rPr>
            </w:pPr>
          </w:p>
        </w:tc>
      </w:tr>
      <w:tr w14:paraId="2CDE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2" w:hRule="atLeast"/>
          <w:jc w:val="center"/>
        </w:trPr>
        <w:tc>
          <w:tcPr>
            <w:tcW w:w="1531" w:type="dxa"/>
            <w:noWrap/>
            <w:vAlign w:val="center"/>
          </w:tcPr>
          <w:p w14:paraId="0249FB93">
            <w:pPr>
              <w:spacing w:line="440" w:lineRule="exact"/>
              <w:jc w:val="center"/>
              <w:rPr>
                <w:rFonts w:ascii="仿宋_GB2312" w:hAnsi="仿宋_GB2312" w:eastAsia="仿宋_GB2312" w:cs="仿宋_GB2312"/>
                <w:color w:val="000000"/>
                <w:w w:val="90"/>
                <w:sz w:val="32"/>
                <w:szCs w:val="32"/>
              </w:rPr>
            </w:pPr>
            <w:r>
              <w:rPr>
                <w:rFonts w:hint="eastAsia" w:ascii="仿宋_GB2312" w:hAnsi="仿宋_GB2312" w:eastAsia="仿宋_GB2312" w:cs="仿宋_GB2312"/>
                <w:color w:val="000000"/>
                <w:w w:val="90"/>
                <w:sz w:val="32"/>
                <w:szCs w:val="32"/>
              </w:rPr>
              <w:t>案例介绍</w:t>
            </w:r>
          </w:p>
        </w:tc>
        <w:tc>
          <w:tcPr>
            <w:tcW w:w="7668" w:type="dxa"/>
            <w:gridSpan w:val="3"/>
            <w:noWrap/>
          </w:tcPr>
          <w:p w14:paraId="73DE7FF8">
            <w:pPr>
              <w:adjustRightInd w:val="0"/>
              <w:snapToGrid w:val="0"/>
              <w:spacing w:line="440" w:lineRule="exact"/>
              <w:jc w:val="left"/>
              <w:rPr>
                <w:rFonts w:ascii="方正楷体_GB2312" w:hAnsi="方正楷体_GB2312" w:eastAsia="方正楷体_GB2312" w:cs="方正楷体_GB2312"/>
                <w:b/>
                <w:bCs/>
                <w:color w:val="000000"/>
                <w:sz w:val="32"/>
                <w:szCs w:val="32"/>
              </w:rPr>
            </w:pPr>
            <w:r>
              <w:rPr>
                <w:rFonts w:hint="eastAsia" w:ascii="方正楷体_GB2312" w:hAnsi="方正楷体_GB2312" w:eastAsia="方正楷体_GB2312" w:cs="方正楷体_GB2312"/>
                <w:b/>
                <w:bCs/>
                <w:color w:val="000000"/>
                <w:sz w:val="32"/>
                <w:szCs w:val="32"/>
              </w:rPr>
              <w:t>（从案例的真实性、典型性、创新性、时效性、推广性详细介绍案例背景、创新亮点、主要做法及取得成效，内容控制在2500字以内）</w:t>
            </w:r>
          </w:p>
          <w:p w14:paraId="1DC6C8B6">
            <w:pPr>
              <w:spacing w:line="600" w:lineRule="exact"/>
              <w:ind w:firstLine="3840" w:firstLineChars="1200"/>
              <w:jc w:val="left"/>
              <w:rPr>
                <w:rFonts w:ascii="仿宋_GB2312" w:hAnsi="仿宋_GB2312" w:eastAsia="仿宋_GB2312" w:cs="仿宋_GB2312"/>
                <w:color w:val="000000"/>
                <w:sz w:val="32"/>
                <w:szCs w:val="32"/>
              </w:rPr>
            </w:pPr>
          </w:p>
        </w:tc>
      </w:tr>
      <w:tr w14:paraId="0E815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1531" w:type="dxa"/>
            <w:noWrap/>
            <w:vAlign w:val="center"/>
          </w:tcPr>
          <w:p w14:paraId="351AC954">
            <w:pPr>
              <w:spacing w:line="44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所在单位</w:t>
            </w:r>
          </w:p>
          <w:p w14:paraId="58CC0EC0">
            <w:pPr>
              <w:spacing w:line="440" w:lineRule="exact"/>
              <w:jc w:val="center"/>
              <w:rPr>
                <w:rFonts w:ascii="仿宋_GB2312" w:hAnsi="仿宋_GB2312" w:eastAsia="仿宋_GB2312" w:cs="仿宋_GB2312"/>
                <w:color w:val="000000"/>
                <w:w w:val="90"/>
                <w:sz w:val="32"/>
                <w:szCs w:val="32"/>
              </w:rPr>
            </w:pPr>
            <w:r>
              <w:rPr>
                <w:rFonts w:hint="eastAsia" w:ascii="仿宋_GB2312" w:hAnsi="仿宋_GB2312" w:eastAsia="仿宋_GB2312" w:cs="仿宋_GB2312"/>
                <w:color w:val="000000"/>
                <w:w w:val="90"/>
                <w:sz w:val="32"/>
                <w:szCs w:val="32"/>
              </w:rPr>
              <w:t>意</w:t>
            </w:r>
            <w:r>
              <w:rPr>
                <w:rFonts w:hint="eastAsia" w:ascii="仿宋_GB2312" w:hAnsi="仿宋_GB2312" w:eastAsia="仿宋_GB2312" w:cs="仿宋_GB2312"/>
                <w:color w:val="000000"/>
                <w:sz w:val="32"/>
                <w:szCs w:val="32"/>
              </w:rPr>
              <w:t>见</w:t>
            </w:r>
          </w:p>
        </w:tc>
        <w:tc>
          <w:tcPr>
            <w:tcW w:w="7668" w:type="dxa"/>
            <w:gridSpan w:val="3"/>
            <w:noWrap/>
          </w:tcPr>
          <w:p w14:paraId="2849A233">
            <w:pPr>
              <w:spacing w:line="600" w:lineRule="exact"/>
              <w:ind w:firstLine="4800" w:firstLineChars="1500"/>
              <w:jc w:val="left"/>
              <w:rPr>
                <w:rFonts w:ascii="仿宋_GB2312" w:hAnsi="仿宋_GB2312" w:eastAsia="仿宋_GB2312" w:cs="仿宋_GB2312"/>
                <w:color w:val="000000"/>
                <w:sz w:val="32"/>
                <w:szCs w:val="32"/>
              </w:rPr>
            </w:pPr>
          </w:p>
          <w:p w14:paraId="2671C4EE">
            <w:pPr>
              <w:spacing w:line="600" w:lineRule="exact"/>
              <w:ind w:firstLine="4800" w:firstLineChars="15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（盖章）</w:t>
            </w:r>
          </w:p>
          <w:p w14:paraId="141760A9">
            <w:pPr>
              <w:spacing w:line="600" w:lineRule="exact"/>
              <w:ind w:firstLine="3840" w:firstLineChars="1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2026年  月  日             </w:t>
            </w:r>
          </w:p>
        </w:tc>
      </w:tr>
    </w:tbl>
    <w:p w14:paraId="5E361C11">
      <w:pPr>
        <w:spacing w:line="540" w:lineRule="exact"/>
        <w:jc w:val="left"/>
        <w:rPr>
          <w:rFonts w:ascii="仿宋_GB2312" w:hAnsi="仿宋_GB2312" w:eastAsia="仿宋_GB2312" w:cs="仿宋_GB2312"/>
          <w:color w:val="000000"/>
          <w:sz w:val="32"/>
          <w:szCs w:val="32"/>
        </w:rPr>
        <w:sectPr>
          <w:footerReference r:id="rId3" w:type="default"/>
          <w:pgSz w:w="11906" w:h="16838"/>
          <w:pgMar w:top="1814" w:right="1587" w:bottom="1701" w:left="1587" w:header="851" w:footer="992" w:gutter="0"/>
          <w:cols w:space="0" w:num="1"/>
          <w:docGrid w:type="lines" w:linePitch="312" w:charSpace="0"/>
        </w:sectPr>
      </w:pPr>
    </w:p>
    <w:p w14:paraId="65B16236">
      <w:pPr>
        <w:spacing w:line="54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附件2</w:t>
      </w:r>
    </w:p>
    <w:p w14:paraId="1B55C7C9">
      <w:pPr>
        <w:spacing w:line="540" w:lineRule="exact"/>
        <w:jc w:val="left"/>
        <w:rPr>
          <w:rFonts w:ascii="仿宋_GB2312" w:hAnsi="仿宋_GB2312" w:eastAsia="仿宋_GB2312" w:cs="仿宋_GB2312"/>
          <w:color w:val="000000"/>
          <w:sz w:val="32"/>
          <w:szCs w:val="32"/>
        </w:rPr>
      </w:pPr>
    </w:p>
    <w:p w14:paraId="2E4741C4">
      <w:pPr>
        <w:spacing w:line="540" w:lineRule="exact"/>
        <w:jc w:val="center"/>
        <w:rPr>
          <w:rFonts w:ascii="仿宋_GB2312" w:hAnsi="仿宋_GB2312" w:eastAsia="仿宋_GB2312" w:cs="仿宋_GB2312"/>
          <w:color w:val="000000"/>
          <w:sz w:val="36"/>
          <w:szCs w:val="36"/>
        </w:rPr>
      </w:pPr>
      <w:r>
        <w:rPr>
          <w:rFonts w:hint="eastAsia" w:ascii="方正小标宋简体" w:hAnsi="方正小标宋简体" w:eastAsia="方正小标宋简体" w:cs="方正小标宋简体"/>
          <w:color w:val="000000"/>
          <w:sz w:val="36"/>
          <w:szCs w:val="36"/>
        </w:rPr>
        <w:t>福建省医院协会2026年“精管病案· 智赋三医”案例申报汇总表</w:t>
      </w:r>
    </w:p>
    <w:p w14:paraId="285CEBE5">
      <w:pPr>
        <w:spacing w:line="600" w:lineRule="exact"/>
        <w:rPr>
          <w:rFonts w:ascii="仿宋" w:hAnsi="仿宋" w:eastAsia="仿宋" w:cs="仿宋_GB2312"/>
          <w:color w:val="000000"/>
          <w:sz w:val="32"/>
          <w:szCs w:val="32"/>
        </w:rPr>
      </w:pPr>
      <w:r>
        <w:rPr>
          <w:rFonts w:hint="eastAsia" w:ascii="仿宋" w:hAnsi="仿宋" w:eastAsia="仿宋" w:cs="仿宋_GB2312"/>
          <w:color w:val="000000"/>
          <w:sz w:val="32"/>
          <w:szCs w:val="32"/>
        </w:rPr>
        <w:t>填报单位：（盖章）                                    填报时间：2026年    月    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5546"/>
        <w:gridCol w:w="1800"/>
        <w:gridCol w:w="1543"/>
        <w:gridCol w:w="2421"/>
        <w:gridCol w:w="1050"/>
      </w:tblGrid>
      <w:tr w14:paraId="5BE7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04" w:type="dxa"/>
            <w:noWrap/>
            <w:vAlign w:val="center"/>
          </w:tcPr>
          <w:p w14:paraId="745CCAED">
            <w:pPr>
              <w:widowControl/>
              <w:jc w:val="center"/>
              <w:textAlignment w:val="top"/>
              <w:rPr>
                <w:rFonts w:ascii="仿宋" w:hAnsi="仿宋" w:eastAsia="仿宋" w:cs="黑体"/>
                <w:bCs/>
                <w:sz w:val="32"/>
                <w:szCs w:val="32"/>
              </w:rPr>
            </w:pPr>
            <w:r>
              <w:rPr>
                <w:rFonts w:hint="eastAsia" w:ascii="仿宋" w:hAnsi="仿宋" w:eastAsia="仿宋" w:cs="黑体"/>
                <w:bCs/>
                <w:color w:val="000000"/>
                <w:kern w:val="0"/>
                <w:sz w:val="32"/>
                <w:szCs w:val="32"/>
              </w:rPr>
              <w:t>序号</w:t>
            </w:r>
          </w:p>
        </w:tc>
        <w:tc>
          <w:tcPr>
            <w:tcW w:w="5546" w:type="dxa"/>
            <w:noWrap/>
            <w:vAlign w:val="center"/>
          </w:tcPr>
          <w:p w14:paraId="5A74F4B2">
            <w:pPr>
              <w:widowControl/>
              <w:jc w:val="center"/>
              <w:textAlignment w:val="top"/>
              <w:rPr>
                <w:rFonts w:ascii="仿宋" w:hAnsi="仿宋" w:eastAsia="仿宋" w:cs="黑体"/>
                <w:bCs/>
                <w:sz w:val="32"/>
                <w:szCs w:val="32"/>
              </w:rPr>
            </w:pPr>
            <w:r>
              <w:rPr>
                <w:rFonts w:hint="eastAsia" w:ascii="仿宋" w:hAnsi="仿宋" w:eastAsia="仿宋" w:cs="黑体"/>
                <w:bCs/>
                <w:color w:val="000000"/>
                <w:kern w:val="0"/>
                <w:sz w:val="32"/>
                <w:szCs w:val="32"/>
              </w:rPr>
              <w:t>案例名称</w:t>
            </w:r>
          </w:p>
        </w:tc>
        <w:tc>
          <w:tcPr>
            <w:tcW w:w="1800" w:type="dxa"/>
            <w:noWrap/>
            <w:vAlign w:val="center"/>
          </w:tcPr>
          <w:p w14:paraId="0229A35B">
            <w:pPr>
              <w:widowControl/>
              <w:jc w:val="center"/>
              <w:textAlignment w:val="top"/>
              <w:rPr>
                <w:rFonts w:ascii="仿宋" w:hAnsi="仿宋" w:eastAsia="仿宋" w:cs="黑体"/>
                <w:bCs/>
                <w:color w:val="000000"/>
                <w:kern w:val="0"/>
                <w:sz w:val="32"/>
                <w:szCs w:val="32"/>
              </w:rPr>
            </w:pPr>
            <w:r>
              <w:rPr>
                <w:rFonts w:hint="eastAsia" w:ascii="仿宋" w:hAnsi="仿宋" w:eastAsia="仿宋" w:cs="黑体"/>
                <w:bCs/>
                <w:color w:val="000000"/>
                <w:kern w:val="0"/>
                <w:sz w:val="32"/>
                <w:szCs w:val="32"/>
              </w:rPr>
              <w:t>案例类型</w:t>
            </w:r>
          </w:p>
        </w:tc>
        <w:tc>
          <w:tcPr>
            <w:tcW w:w="1543" w:type="dxa"/>
            <w:noWrap/>
            <w:vAlign w:val="center"/>
          </w:tcPr>
          <w:p w14:paraId="1B3D2FB2">
            <w:pPr>
              <w:widowControl/>
              <w:jc w:val="center"/>
              <w:textAlignment w:val="top"/>
              <w:rPr>
                <w:rFonts w:ascii="仿宋" w:hAnsi="仿宋" w:eastAsia="仿宋" w:cs="黑体"/>
                <w:bCs/>
                <w:sz w:val="32"/>
                <w:szCs w:val="32"/>
              </w:rPr>
            </w:pPr>
            <w:r>
              <w:rPr>
                <w:rFonts w:hint="eastAsia" w:ascii="仿宋" w:hAnsi="仿宋" w:eastAsia="仿宋" w:cs="黑体"/>
                <w:bCs/>
                <w:color w:val="000000"/>
                <w:kern w:val="0"/>
                <w:sz w:val="32"/>
                <w:szCs w:val="32"/>
              </w:rPr>
              <w:t>联系人</w:t>
            </w:r>
          </w:p>
        </w:tc>
        <w:tc>
          <w:tcPr>
            <w:tcW w:w="2421" w:type="dxa"/>
            <w:noWrap/>
            <w:vAlign w:val="center"/>
          </w:tcPr>
          <w:p w14:paraId="4A65D7DE">
            <w:pPr>
              <w:widowControl/>
              <w:jc w:val="center"/>
              <w:textAlignment w:val="top"/>
              <w:rPr>
                <w:rFonts w:ascii="仿宋" w:hAnsi="仿宋" w:eastAsia="仿宋" w:cs="黑体"/>
                <w:bCs/>
                <w:sz w:val="32"/>
                <w:szCs w:val="32"/>
              </w:rPr>
            </w:pPr>
            <w:r>
              <w:rPr>
                <w:rFonts w:hint="eastAsia" w:ascii="仿宋" w:hAnsi="仿宋" w:eastAsia="仿宋" w:cs="黑体"/>
                <w:bCs/>
                <w:color w:val="000000"/>
                <w:kern w:val="0"/>
                <w:sz w:val="32"/>
                <w:szCs w:val="32"/>
              </w:rPr>
              <w:t>联系电话</w:t>
            </w:r>
          </w:p>
        </w:tc>
        <w:tc>
          <w:tcPr>
            <w:tcW w:w="1050" w:type="dxa"/>
            <w:noWrap/>
            <w:vAlign w:val="center"/>
          </w:tcPr>
          <w:p w14:paraId="703D85FB">
            <w:pPr>
              <w:widowControl/>
              <w:jc w:val="center"/>
              <w:textAlignment w:val="top"/>
              <w:rPr>
                <w:rFonts w:ascii="仿宋" w:hAnsi="仿宋" w:eastAsia="仿宋" w:cs="黑体"/>
                <w:bCs/>
                <w:sz w:val="32"/>
                <w:szCs w:val="32"/>
              </w:rPr>
            </w:pPr>
            <w:r>
              <w:rPr>
                <w:rFonts w:hint="eastAsia" w:ascii="仿宋" w:hAnsi="仿宋" w:eastAsia="仿宋" w:cs="黑体"/>
                <w:bCs/>
                <w:color w:val="000000"/>
                <w:kern w:val="0"/>
                <w:sz w:val="32"/>
                <w:szCs w:val="32"/>
              </w:rPr>
              <w:t>备注</w:t>
            </w:r>
          </w:p>
        </w:tc>
      </w:tr>
      <w:tr w14:paraId="16D9E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904" w:type="dxa"/>
            <w:noWrap/>
          </w:tcPr>
          <w:p w14:paraId="0895C958">
            <w:pPr>
              <w:spacing w:line="600" w:lineRule="exact"/>
              <w:jc w:val="left"/>
              <w:rPr>
                <w:rFonts w:ascii="黑体" w:hAnsi="黑体" w:eastAsia="黑体" w:cs="黑体"/>
                <w:sz w:val="32"/>
                <w:szCs w:val="32"/>
              </w:rPr>
            </w:pPr>
          </w:p>
        </w:tc>
        <w:tc>
          <w:tcPr>
            <w:tcW w:w="5546" w:type="dxa"/>
            <w:noWrap/>
          </w:tcPr>
          <w:p w14:paraId="60312F0D">
            <w:pPr>
              <w:spacing w:line="600" w:lineRule="exact"/>
              <w:jc w:val="left"/>
              <w:rPr>
                <w:rFonts w:ascii="黑体" w:hAnsi="黑体" w:eastAsia="黑体" w:cs="黑体"/>
                <w:sz w:val="32"/>
                <w:szCs w:val="32"/>
              </w:rPr>
            </w:pPr>
          </w:p>
        </w:tc>
        <w:tc>
          <w:tcPr>
            <w:tcW w:w="1800" w:type="dxa"/>
            <w:noWrap/>
          </w:tcPr>
          <w:p w14:paraId="2F429AF4">
            <w:pPr>
              <w:spacing w:line="600" w:lineRule="exact"/>
              <w:jc w:val="left"/>
              <w:rPr>
                <w:rFonts w:ascii="黑体" w:hAnsi="黑体" w:eastAsia="黑体" w:cs="黑体"/>
                <w:sz w:val="32"/>
                <w:szCs w:val="32"/>
              </w:rPr>
            </w:pPr>
          </w:p>
        </w:tc>
        <w:tc>
          <w:tcPr>
            <w:tcW w:w="1543" w:type="dxa"/>
            <w:noWrap/>
          </w:tcPr>
          <w:p w14:paraId="0C79001E">
            <w:pPr>
              <w:spacing w:line="600" w:lineRule="exact"/>
              <w:jc w:val="left"/>
              <w:rPr>
                <w:rFonts w:ascii="黑体" w:hAnsi="黑体" w:eastAsia="黑体" w:cs="黑体"/>
                <w:sz w:val="32"/>
                <w:szCs w:val="32"/>
              </w:rPr>
            </w:pPr>
          </w:p>
        </w:tc>
        <w:tc>
          <w:tcPr>
            <w:tcW w:w="2421" w:type="dxa"/>
            <w:noWrap/>
          </w:tcPr>
          <w:p w14:paraId="1D01BC7C">
            <w:pPr>
              <w:spacing w:line="600" w:lineRule="exact"/>
              <w:jc w:val="left"/>
              <w:rPr>
                <w:rFonts w:ascii="黑体" w:hAnsi="黑体" w:eastAsia="黑体" w:cs="黑体"/>
                <w:sz w:val="32"/>
                <w:szCs w:val="32"/>
              </w:rPr>
            </w:pPr>
          </w:p>
        </w:tc>
        <w:tc>
          <w:tcPr>
            <w:tcW w:w="1050" w:type="dxa"/>
            <w:noWrap/>
          </w:tcPr>
          <w:p w14:paraId="1DF7547D">
            <w:pPr>
              <w:spacing w:line="600" w:lineRule="exact"/>
              <w:jc w:val="left"/>
              <w:rPr>
                <w:rFonts w:ascii="黑体" w:hAnsi="黑体" w:eastAsia="黑体" w:cs="黑体"/>
                <w:sz w:val="32"/>
                <w:szCs w:val="32"/>
              </w:rPr>
            </w:pPr>
          </w:p>
        </w:tc>
      </w:tr>
      <w:tr w14:paraId="52019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904" w:type="dxa"/>
            <w:noWrap/>
          </w:tcPr>
          <w:p w14:paraId="5431A1F2">
            <w:pPr>
              <w:spacing w:line="600" w:lineRule="exact"/>
              <w:jc w:val="left"/>
              <w:rPr>
                <w:rFonts w:ascii="黑体" w:hAnsi="黑体" w:eastAsia="黑体" w:cs="黑体"/>
                <w:sz w:val="32"/>
                <w:szCs w:val="32"/>
              </w:rPr>
            </w:pPr>
          </w:p>
        </w:tc>
        <w:tc>
          <w:tcPr>
            <w:tcW w:w="5546" w:type="dxa"/>
            <w:noWrap/>
          </w:tcPr>
          <w:p w14:paraId="329AA12B">
            <w:pPr>
              <w:spacing w:line="600" w:lineRule="exact"/>
              <w:jc w:val="left"/>
              <w:rPr>
                <w:rFonts w:ascii="黑体" w:hAnsi="黑体" w:eastAsia="黑体" w:cs="黑体"/>
                <w:sz w:val="32"/>
                <w:szCs w:val="32"/>
              </w:rPr>
            </w:pPr>
          </w:p>
        </w:tc>
        <w:tc>
          <w:tcPr>
            <w:tcW w:w="1800" w:type="dxa"/>
            <w:noWrap/>
          </w:tcPr>
          <w:p w14:paraId="32638ECA">
            <w:pPr>
              <w:spacing w:line="600" w:lineRule="exact"/>
              <w:jc w:val="left"/>
              <w:rPr>
                <w:rFonts w:ascii="黑体" w:hAnsi="黑体" w:eastAsia="黑体" w:cs="黑体"/>
                <w:sz w:val="32"/>
                <w:szCs w:val="32"/>
              </w:rPr>
            </w:pPr>
          </w:p>
        </w:tc>
        <w:tc>
          <w:tcPr>
            <w:tcW w:w="1543" w:type="dxa"/>
            <w:noWrap/>
          </w:tcPr>
          <w:p w14:paraId="6EF7E25B">
            <w:pPr>
              <w:spacing w:line="600" w:lineRule="exact"/>
              <w:jc w:val="left"/>
              <w:rPr>
                <w:rFonts w:ascii="黑体" w:hAnsi="黑体" w:eastAsia="黑体" w:cs="黑体"/>
                <w:sz w:val="32"/>
                <w:szCs w:val="32"/>
              </w:rPr>
            </w:pPr>
          </w:p>
        </w:tc>
        <w:tc>
          <w:tcPr>
            <w:tcW w:w="2421" w:type="dxa"/>
            <w:noWrap/>
          </w:tcPr>
          <w:p w14:paraId="65B05C40">
            <w:pPr>
              <w:spacing w:line="600" w:lineRule="exact"/>
              <w:jc w:val="left"/>
              <w:rPr>
                <w:rFonts w:ascii="黑体" w:hAnsi="黑体" w:eastAsia="黑体" w:cs="黑体"/>
                <w:sz w:val="32"/>
                <w:szCs w:val="32"/>
              </w:rPr>
            </w:pPr>
          </w:p>
        </w:tc>
        <w:tc>
          <w:tcPr>
            <w:tcW w:w="1050" w:type="dxa"/>
            <w:noWrap/>
          </w:tcPr>
          <w:p w14:paraId="398F0EBE">
            <w:pPr>
              <w:spacing w:line="600" w:lineRule="exact"/>
              <w:jc w:val="left"/>
              <w:rPr>
                <w:rFonts w:ascii="黑体" w:hAnsi="黑体" w:eastAsia="黑体" w:cs="黑体"/>
                <w:sz w:val="32"/>
                <w:szCs w:val="32"/>
              </w:rPr>
            </w:pPr>
          </w:p>
        </w:tc>
      </w:tr>
      <w:tr w14:paraId="314E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904" w:type="dxa"/>
            <w:noWrap/>
          </w:tcPr>
          <w:p w14:paraId="573673AE">
            <w:pPr>
              <w:spacing w:line="600" w:lineRule="exact"/>
              <w:jc w:val="left"/>
              <w:rPr>
                <w:rFonts w:ascii="黑体" w:hAnsi="黑体" w:eastAsia="黑体" w:cs="黑体"/>
                <w:sz w:val="32"/>
                <w:szCs w:val="32"/>
              </w:rPr>
            </w:pPr>
          </w:p>
        </w:tc>
        <w:tc>
          <w:tcPr>
            <w:tcW w:w="5546" w:type="dxa"/>
            <w:noWrap/>
          </w:tcPr>
          <w:p w14:paraId="0A6C7CCA">
            <w:pPr>
              <w:spacing w:line="600" w:lineRule="exact"/>
              <w:jc w:val="left"/>
              <w:rPr>
                <w:rFonts w:ascii="黑体" w:hAnsi="黑体" w:eastAsia="黑体" w:cs="黑体"/>
                <w:sz w:val="32"/>
                <w:szCs w:val="32"/>
              </w:rPr>
            </w:pPr>
          </w:p>
        </w:tc>
        <w:tc>
          <w:tcPr>
            <w:tcW w:w="1800" w:type="dxa"/>
            <w:noWrap/>
          </w:tcPr>
          <w:p w14:paraId="3973ADB0">
            <w:pPr>
              <w:spacing w:line="600" w:lineRule="exact"/>
              <w:jc w:val="left"/>
              <w:rPr>
                <w:rFonts w:ascii="黑体" w:hAnsi="黑体" w:eastAsia="黑体" w:cs="黑体"/>
                <w:sz w:val="32"/>
                <w:szCs w:val="32"/>
              </w:rPr>
            </w:pPr>
          </w:p>
        </w:tc>
        <w:tc>
          <w:tcPr>
            <w:tcW w:w="1543" w:type="dxa"/>
            <w:noWrap/>
          </w:tcPr>
          <w:p w14:paraId="40CFE83E">
            <w:pPr>
              <w:spacing w:line="600" w:lineRule="exact"/>
              <w:jc w:val="left"/>
              <w:rPr>
                <w:rFonts w:ascii="黑体" w:hAnsi="黑体" w:eastAsia="黑体" w:cs="黑体"/>
                <w:sz w:val="32"/>
                <w:szCs w:val="32"/>
              </w:rPr>
            </w:pPr>
          </w:p>
        </w:tc>
        <w:tc>
          <w:tcPr>
            <w:tcW w:w="2421" w:type="dxa"/>
            <w:noWrap/>
          </w:tcPr>
          <w:p w14:paraId="13DCEE93">
            <w:pPr>
              <w:spacing w:line="600" w:lineRule="exact"/>
              <w:jc w:val="left"/>
              <w:rPr>
                <w:rFonts w:ascii="黑体" w:hAnsi="黑体" w:eastAsia="黑体" w:cs="黑体"/>
                <w:sz w:val="32"/>
                <w:szCs w:val="32"/>
              </w:rPr>
            </w:pPr>
          </w:p>
        </w:tc>
        <w:tc>
          <w:tcPr>
            <w:tcW w:w="1050" w:type="dxa"/>
            <w:noWrap/>
          </w:tcPr>
          <w:p w14:paraId="6AD1A938">
            <w:pPr>
              <w:spacing w:line="600" w:lineRule="exact"/>
              <w:jc w:val="left"/>
              <w:rPr>
                <w:rFonts w:ascii="黑体" w:hAnsi="黑体" w:eastAsia="黑体" w:cs="黑体"/>
                <w:sz w:val="32"/>
                <w:szCs w:val="32"/>
              </w:rPr>
            </w:pPr>
          </w:p>
        </w:tc>
      </w:tr>
      <w:tr w14:paraId="3429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904" w:type="dxa"/>
            <w:noWrap/>
          </w:tcPr>
          <w:p w14:paraId="1C3111A9">
            <w:pPr>
              <w:spacing w:line="600" w:lineRule="exact"/>
              <w:jc w:val="left"/>
              <w:rPr>
                <w:rFonts w:ascii="黑体" w:hAnsi="黑体" w:eastAsia="黑体" w:cs="黑体"/>
                <w:sz w:val="28"/>
                <w:szCs w:val="21"/>
              </w:rPr>
            </w:pPr>
          </w:p>
        </w:tc>
        <w:tc>
          <w:tcPr>
            <w:tcW w:w="5546" w:type="dxa"/>
            <w:noWrap/>
          </w:tcPr>
          <w:p w14:paraId="13BA1C6C">
            <w:pPr>
              <w:spacing w:line="600" w:lineRule="exact"/>
              <w:jc w:val="left"/>
              <w:rPr>
                <w:rFonts w:ascii="黑体" w:hAnsi="黑体" w:eastAsia="黑体" w:cs="黑体"/>
                <w:sz w:val="28"/>
                <w:szCs w:val="21"/>
              </w:rPr>
            </w:pPr>
          </w:p>
        </w:tc>
        <w:tc>
          <w:tcPr>
            <w:tcW w:w="1800" w:type="dxa"/>
            <w:noWrap/>
          </w:tcPr>
          <w:p w14:paraId="47914318">
            <w:pPr>
              <w:spacing w:line="600" w:lineRule="exact"/>
              <w:jc w:val="left"/>
              <w:rPr>
                <w:rFonts w:ascii="黑体" w:hAnsi="黑体" w:eastAsia="黑体" w:cs="黑体"/>
                <w:sz w:val="28"/>
                <w:szCs w:val="21"/>
              </w:rPr>
            </w:pPr>
          </w:p>
        </w:tc>
        <w:tc>
          <w:tcPr>
            <w:tcW w:w="1543" w:type="dxa"/>
            <w:noWrap/>
          </w:tcPr>
          <w:p w14:paraId="04012CBB">
            <w:pPr>
              <w:spacing w:line="600" w:lineRule="exact"/>
              <w:jc w:val="left"/>
              <w:rPr>
                <w:rFonts w:ascii="黑体" w:hAnsi="黑体" w:eastAsia="黑体" w:cs="黑体"/>
                <w:sz w:val="28"/>
                <w:szCs w:val="21"/>
              </w:rPr>
            </w:pPr>
          </w:p>
        </w:tc>
        <w:tc>
          <w:tcPr>
            <w:tcW w:w="2421" w:type="dxa"/>
            <w:noWrap/>
          </w:tcPr>
          <w:p w14:paraId="59172804">
            <w:pPr>
              <w:spacing w:line="600" w:lineRule="exact"/>
              <w:jc w:val="left"/>
              <w:rPr>
                <w:rFonts w:ascii="黑体" w:hAnsi="黑体" w:eastAsia="黑体" w:cs="黑体"/>
                <w:sz w:val="28"/>
                <w:szCs w:val="21"/>
              </w:rPr>
            </w:pPr>
          </w:p>
        </w:tc>
        <w:tc>
          <w:tcPr>
            <w:tcW w:w="1050" w:type="dxa"/>
            <w:noWrap/>
          </w:tcPr>
          <w:p w14:paraId="054ADA74">
            <w:pPr>
              <w:spacing w:line="600" w:lineRule="exact"/>
              <w:jc w:val="left"/>
              <w:rPr>
                <w:rFonts w:ascii="黑体" w:hAnsi="黑体" w:eastAsia="黑体" w:cs="黑体"/>
                <w:sz w:val="28"/>
                <w:szCs w:val="21"/>
              </w:rPr>
            </w:pPr>
          </w:p>
        </w:tc>
      </w:tr>
      <w:tr w14:paraId="017B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904" w:type="dxa"/>
            <w:noWrap/>
          </w:tcPr>
          <w:p w14:paraId="4C364B00">
            <w:pPr>
              <w:spacing w:line="600" w:lineRule="exact"/>
              <w:jc w:val="left"/>
              <w:rPr>
                <w:rFonts w:ascii="黑体" w:hAnsi="黑体" w:eastAsia="黑体" w:cs="黑体"/>
                <w:sz w:val="28"/>
                <w:szCs w:val="21"/>
              </w:rPr>
            </w:pPr>
          </w:p>
        </w:tc>
        <w:tc>
          <w:tcPr>
            <w:tcW w:w="5546" w:type="dxa"/>
            <w:noWrap/>
          </w:tcPr>
          <w:p w14:paraId="3EB0BF03">
            <w:pPr>
              <w:spacing w:line="600" w:lineRule="exact"/>
              <w:jc w:val="left"/>
              <w:rPr>
                <w:rFonts w:ascii="黑体" w:hAnsi="黑体" w:eastAsia="黑体" w:cs="黑体"/>
                <w:sz w:val="28"/>
                <w:szCs w:val="21"/>
              </w:rPr>
            </w:pPr>
          </w:p>
        </w:tc>
        <w:tc>
          <w:tcPr>
            <w:tcW w:w="1800" w:type="dxa"/>
            <w:noWrap/>
          </w:tcPr>
          <w:p w14:paraId="079CE7B8">
            <w:pPr>
              <w:spacing w:line="600" w:lineRule="exact"/>
              <w:jc w:val="left"/>
              <w:rPr>
                <w:rFonts w:ascii="黑体" w:hAnsi="黑体" w:eastAsia="黑体" w:cs="黑体"/>
                <w:sz w:val="28"/>
                <w:szCs w:val="21"/>
              </w:rPr>
            </w:pPr>
          </w:p>
        </w:tc>
        <w:tc>
          <w:tcPr>
            <w:tcW w:w="1543" w:type="dxa"/>
            <w:noWrap/>
          </w:tcPr>
          <w:p w14:paraId="6227206D">
            <w:pPr>
              <w:spacing w:line="600" w:lineRule="exact"/>
              <w:jc w:val="left"/>
              <w:rPr>
                <w:rFonts w:ascii="黑体" w:hAnsi="黑体" w:eastAsia="黑体" w:cs="黑体"/>
                <w:sz w:val="28"/>
                <w:szCs w:val="21"/>
              </w:rPr>
            </w:pPr>
          </w:p>
        </w:tc>
        <w:tc>
          <w:tcPr>
            <w:tcW w:w="2421" w:type="dxa"/>
            <w:noWrap/>
          </w:tcPr>
          <w:p w14:paraId="64C32A2E">
            <w:pPr>
              <w:spacing w:line="600" w:lineRule="exact"/>
              <w:jc w:val="left"/>
              <w:rPr>
                <w:rFonts w:ascii="黑体" w:hAnsi="黑体" w:eastAsia="黑体" w:cs="黑体"/>
                <w:sz w:val="28"/>
                <w:szCs w:val="21"/>
              </w:rPr>
            </w:pPr>
          </w:p>
        </w:tc>
        <w:tc>
          <w:tcPr>
            <w:tcW w:w="1050" w:type="dxa"/>
            <w:noWrap/>
          </w:tcPr>
          <w:p w14:paraId="1AEEE4C9">
            <w:pPr>
              <w:spacing w:line="600" w:lineRule="exact"/>
              <w:jc w:val="left"/>
              <w:rPr>
                <w:rFonts w:ascii="黑体" w:hAnsi="黑体" w:eastAsia="黑体" w:cs="黑体"/>
                <w:sz w:val="28"/>
                <w:szCs w:val="21"/>
              </w:rPr>
            </w:pPr>
          </w:p>
        </w:tc>
      </w:tr>
    </w:tbl>
    <w:p w14:paraId="06C0AE46">
      <w:pPr>
        <w:spacing w:line="540" w:lineRule="exact"/>
        <w:jc w:val="left"/>
        <w:rPr>
          <w:rFonts w:ascii="仿宋_GB2312" w:hAnsi="仿宋_GB2312" w:eastAsia="仿宋_GB2312" w:cs="仿宋_GB2312"/>
          <w:color w:val="000000"/>
          <w:sz w:val="32"/>
          <w:szCs w:val="32"/>
        </w:rPr>
      </w:pPr>
    </w:p>
    <w:p w14:paraId="6A37C1A6">
      <w:pPr>
        <w:spacing w:line="540" w:lineRule="exact"/>
        <w:jc w:val="left"/>
        <w:rPr>
          <w:rFonts w:ascii="仿宋_GB2312" w:hAnsi="仿宋_GB2312" w:eastAsia="仿宋_GB2312" w:cs="仿宋_GB2312"/>
          <w:color w:val="000000"/>
          <w:sz w:val="32"/>
          <w:szCs w:val="32"/>
        </w:rPr>
      </w:pPr>
    </w:p>
    <w:p w14:paraId="47E36557">
      <w:pPr>
        <w:spacing w:line="540" w:lineRule="exact"/>
        <w:jc w:val="left"/>
        <w:rPr>
          <w:rFonts w:ascii="仿宋_GB2312" w:hAnsi="仿宋_GB2312" w:eastAsia="仿宋_GB2312" w:cs="仿宋_GB2312"/>
          <w:color w:val="000000"/>
          <w:sz w:val="32"/>
          <w:szCs w:val="32"/>
        </w:rPr>
      </w:pPr>
    </w:p>
    <w:sectPr>
      <w:pgSz w:w="16838" w:h="11906" w:orient="landscape"/>
      <w:pgMar w:top="1587" w:right="1814" w:bottom="1587"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D1DDEF-73FC-4957-9693-CE870B49D2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3925898B-795C-4A4F-B6FA-57BD610FDC73}"/>
  </w:font>
  <w:font w:name="方正小标宋简体">
    <w:panose1 w:val="03000509000000000000"/>
    <w:charset w:val="86"/>
    <w:family w:val="script"/>
    <w:pitch w:val="default"/>
    <w:sig w:usb0="00000001" w:usb1="080E0000" w:usb2="00000000" w:usb3="00000000" w:csb0="00040000" w:csb1="00000000"/>
    <w:embedRegular r:id="rId3" w:fontKey="{C42AE1B0-13B5-4F03-8F85-1E8CF5A37000}"/>
  </w:font>
  <w:font w:name="方正楷体_GB2312">
    <w:altName w:val="宋体"/>
    <w:panose1 w:val="00000000000000000000"/>
    <w:charset w:val="86"/>
    <w:family w:val="auto"/>
    <w:pitch w:val="default"/>
    <w:sig w:usb0="00000000" w:usb1="00000000" w:usb2="00000012" w:usb3="00000000" w:csb0="00040001" w:csb1="00000000"/>
    <w:embedRegular r:id="rId4" w:fontKey="{6E8B35F3-A517-4A3B-82C5-18EC50286597}"/>
  </w:font>
  <w:font w:name="楷体_GB2312">
    <w:panose1 w:val="02010609030101010101"/>
    <w:charset w:val="86"/>
    <w:family w:val="modern"/>
    <w:pitch w:val="default"/>
    <w:sig w:usb0="00000001" w:usb1="080E0000" w:usb2="00000000" w:usb3="00000000" w:csb0="00040000" w:csb1="00000000"/>
    <w:embedRegular r:id="rId5" w:fontKey="{141EAFC9-0AE2-4AAA-943D-1F7FE5F6343F}"/>
  </w:font>
  <w:font w:name="仿宋">
    <w:panose1 w:val="02010609060101010101"/>
    <w:charset w:val="86"/>
    <w:family w:val="modern"/>
    <w:pitch w:val="default"/>
    <w:sig w:usb0="800002BF" w:usb1="38CF7CFA" w:usb2="00000016" w:usb3="00000000" w:csb0="00040001" w:csb1="00000000"/>
    <w:embedRegular r:id="rId6" w:fontKey="{EF90D89B-0DC0-4275-BEDC-024D2E14CDA5}"/>
  </w:font>
  <w:font w:name="WPSEMBED2">
    <w:panose1 w:val="02010609030101010101"/>
    <w:charset w:val="86"/>
    <w:family w:val="auto"/>
    <w:pitch w:val="default"/>
    <w:sig w:usb0="00000001" w:usb1="080E0000" w:usb2="00000000" w:usb3="00000000" w:csb0="00040000" w:csb1="00000000"/>
  </w:font>
  <w:font w:name="WPSEMBED5">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7814720"/>
      <w:docPartObj>
        <w:docPartGallery w:val="AutoText"/>
      </w:docPartObj>
    </w:sdtPr>
    <w:sdtContent>
      <w:p w14:paraId="0F7AD437">
        <w:pPr>
          <w:pStyle w:val="3"/>
          <w:jc w:val="center"/>
        </w:pPr>
        <w:r>
          <w:fldChar w:fldCharType="begin"/>
        </w:r>
        <w:r>
          <w:instrText xml:space="preserve"> PAGE   \* MERGEFORMAT </w:instrText>
        </w:r>
        <w:r>
          <w:fldChar w:fldCharType="separate"/>
        </w:r>
        <w:r>
          <w:rPr>
            <w:lang w:val="zh-CN"/>
          </w:rPr>
          <w:t>7</w:t>
        </w:r>
        <w:r>
          <w:rPr>
            <w:lang w:val="zh-CN"/>
          </w:rPr>
          <w:fldChar w:fldCharType="end"/>
        </w:r>
      </w:p>
    </w:sdtContent>
  </w:sdt>
  <w:p w14:paraId="238D76EE">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6F2AB3"/>
    <w:multiLevelType w:val="singleLevel"/>
    <w:tmpl w:val="046F2AB3"/>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2DB20355"/>
    <w:rsid w:val="002B3F93"/>
    <w:rsid w:val="00300A79"/>
    <w:rsid w:val="00376C70"/>
    <w:rsid w:val="005E3EB1"/>
    <w:rsid w:val="00720A64"/>
    <w:rsid w:val="007E173C"/>
    <w:rsid w:val="008438DC"/>
    <w:rsid w:val="00882755"/>
    <w:rsid w:val="008908A3"/>
    <w:rsid w:val="00AF0003"/>
    <w:rsid w:val="00BB1E05"/>
    <w:rsid w:val="00C37ED1"/>
    <w:rsid w:val="00C559C4"/>
    <w:rsid w:val="00CB6C78"/>
    <w:rsid w:val="00F71068"/>
    <w:rsid w:val="00FB4EFF"/>
    <w:rsid w:val="0A1A0CB3"/>
    <w:rsid w:val="0B01433E"/>
    <w:rsid w:val="1AB847C1"/>
    <w:rsid w:val="1E560BB7"/>
    <w:rsid w:val="1F2A2C2F"/>
    <w:rsid w:val="2415296A"/>
    <w:rsid w:val="2DB20355"/>
    <w:rsid w:val="32FD11AA"/>
    <w:rsid w:val="34883903"/>
    <w:rsid w:val="40C3622D"/>
    <w:rsid w:val="47C91F9F"/>
    <w:rsid w:val="6F6172C7"/>
    <w:rsid w:val="7D456F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0"/>
    <w:rPr>
      <w:color w:val="0000FF"/>
      <w:u w:val="single"/>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df4c9c42-d52c-4492-8136-64f92aa2523f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171D3564</paraID>
      <start>63</start>
      <end>64</end>
      <status>modified</status>
      <modifiedWord>地</modifiedWord>
      <trackRevisions>false</trackRevisions>
    </reviewItem>
    <reviewItem>
      <errorID>53cbf168-b2e2-496e-b4fd-a5160e1b5067</errorID>
      <errorWord>质质</errorWord>
      <group>L1_Word</group>
      <groupName>字词问题</groupName>
      <ability>L2_Typo</ability>
      <abilityName>字词错误</abilityName>
      <candidateList>
        <item>质</item>
      </candidateList>
      <explain/>
      <paraID> BBAF1B8</paraID>
      <start>35</start>
      <end>36</end>
      <status>modified</status>
      <modifiedWord>质</modifiedWord>
      <trackRevisions>false</trackRevisions>
    </reviewItem>
    <reviewItem>
      <errorID>d1e0fc51-3f92-4e4e-9344-14849bcdfb37</errorID>
      <errorWord>位</errorWord>
      <group>L1_Word</group>
      <groupName>字词问题</groupName>
      <ability>L2_Typo</ability>
      <abilityName>字词错误</abilityName>
      <candidateList>
        <item>位在</item>
      </candidateList>
      <explain/>
      <paraID> BBAF1B8</paraID>
      <start>79</start>
      <end>81</end>
      <status>modified</status>
      <modifiedWord>位在</modifiedWord>
      <trackRevisions>false</trackRevisions>
    </reviewItem>
    <reviewItem>
      <errorID>e2faf367-9572-4af8-9217-25c5376e5441</errorID>
      <errorWord>病历</errorWord>
      <group>L1_Word</group>
      <groupName>字词问题</groupName>
      <ability>L2_Typo</ability>
      <abilityName>字词错误</abilityName>
      <candidateList>
        <item>病例</item>
      </candidateList>
      <explain/>
      <paraID> BBAF1B8</paraID>
      <start>147</start>
      <end>149</end>
      <status>ignored</status>
      <modifiedWord/>
      <trackRevisions>false</trackRevisions>
    </reviewItem>
    <reviewItem>
      <errorID>0ac01dca-39bc-457b-af79-a75fc9f66d93</errorID>
      <errorWord>”</errorWord>
      <group>L1_Punc</group>
      <groupName>标点问题</groupName>
      <ability>L2_Punc</ability>
      <abilityName>标点符号检查</abilityName>
      <candidateList/>
      <explain/>
      <paraID>5D416AE1</paraID>
      <start>27</start>
      <end>28</end>
      <status>ignored</status>
      <modifiedWord/>
      <trackRevisions>false</trackRevisions>
    </reviewItem>
    <reviewItem>
      <errorID>5044ce4a-8902-4287-9331-e62885038ac1</errorID>
      <errorWord>”</errorWord>
      <group>L1_Punc</group>
      <groupName>标点问题</groupName>
      <ability>L2_Punc</ability>
      <abilityName>标点符号检查</abilityName>
      <candidateList/>
      <explain/>
      <paraID> 26AF34F</paraID>
      <start>27</start>
      <end>28</end>
      <status>ignored</status>
      <modifiedWord/>
      <trackRevisions>false</trackRevisions>
    </reviewItem>
  </reviewItems>
  <config/>
</contractReview>
</file>

<file path=customXml/itemProps1.xml><?xml version="1.0" encoding="utf-8"?>
<ds:datastoreItem xmlns:ds="http://schemas.openxmlformats.org/officeDocument/2006/customXml" ds:itemID="{7A0B4526-D9E2-4EF1-B548-C6ED626D19E5}">
  <ds:schemaRefs/>
</ds:datastoreItem>
</file>

<file path=docProps/app.xml><?xml version="1.0" encoding="utf-8"?>
<Properties xmlns="http://schemas.openxmlformats.org/officeDocument/2006/extended-properties" xmlns:vt="http://schemas.openxmlformats.org/officeDocument/2006/docPropsVTypes">
  <Template>Normal</Template>
  <Pages>7</Pages>
  <Words>2152</Words>
  <Characters>2266</Characters>
  <Lines>18</Lines>
  <Paragraphs>5</Paragraphs>
  <TotalTime>50</TotalTime>
  <ScaleCrop>false</ScaleCrop>
  <LinksUpToDate>false</LinksUpToDate>
  <CharactersWithSpaces>2301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2026-01-07T01:47:00Z</dcterms:created>
  <dc:creator>郑日清</dc:creator>
  <cp:lastModifiedBy>小夏</cp:lastModifiedBy>
  <cp:lastPrinted>2026-01-30T09:01:00Z</cp:lastPrinted>
  <dcterms:modified xsi:type="dcterms:W3CDTF">2026-02-03T04:35:10Z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8373BC4A82B24E8B81D9A6A154EF2D93_11</vt:lpwstr>
  </property>
  <property fmtid="{D5CDD505-2E9C-101B-9397-08002B2CF9AE}" pid="4" name="KSOTemplateDocerSaveRecord">
    <vt:lpwstr>eyJoZGlkIjoiOGRkZmQ1Y2MzODY2NmVkYThlZWE2YzNkMjU2OTAwMTEiLCJ1c2VySWQiOiIyNzgwMDQ1MjMifQ==</vt:lpwstr>
  </property>
</Properties>
</file>